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7C6" w:rsidRPr="00E57C0E" w:rsidRDefault="006E47C6" w:rsidP="00E06F84">
      <w:pPr>
        <w:pStyle w:val="TOC1"/>
      </w:pPr>
    </w:p>
    <w:p w:rsidR="00CB4B50" w:rsidRPr="00E57C0E" w:rsidRDefault="00CB4B50" w:rsidP="00CB4B50">
      <w:pPr>
        <w:rPr>
          <w:rFonts w:ascii="GHEA Grapalat" w:hAnsi="GHEA Grapalat"/>
        </w:rPr>
      </w:pPr>
    </w:p>
    <w:p w:rsidR="00C8194D" w:rsidRPr="009064FB" w:rsidRDefault="00C8194D" w:rsidP="009064FB">
      <w:pPr>
        <w:tabs>
          <w:tab w:val="left" w:pos="0"/>
        </w:tabs>
        <w:jc w:val="center"/>
        <w:rPr>
          <w:rFonts w:ascii="GHEA Grapalat" w:hAnsi="GHEA Grapalat"/>
          <w:b/>
        </w:rPr>
      </w:pPr>
      <w:r w:rsidRPr="009064FB">
        <w:rPr>
          <w:rFonts w:ascii="GHEA Grapalat" w:hAnsi="GHEA Grapalat"/>
          <w:b/>
        </w:rPr>
        <w:t>ԲՈՎԱՆԴԱԿՈՒԹՅՈՒՆ</w:t>
      </w:r>
    </w:p>
    <w:p w:rsidR="003728C6" w:rsidRPr="00E57C0E" w:rsidRDefault="003728C6" w:rsidP="003728C6">
      <w:pPr>
        <w:tabs>
          <w:tab w:val="left" w:pos="0"/>
        </w:tabs>
        <w:rPr>
          <w:rFonts w:ascii="GHEA Grapalat" w:hAnsi="GHEA Grapalat"/>
          <w:b/>
          <w:sz w:val="22"/>
          <w:szCs w:val="22"/>
        </w:rPr>
      </w:pPr>
      <w:bookmarkStart w:id="0" w:name="_Toc71283303"/>
      <w:bookmarkStart w:id="1" w:name="_Toc71283304"/>
    </w:p>
    <w:p w:rsidR="00614029" w:rsidRPr="00E57C0E" w:rsidRDefault="00614029" w:rsidP="003728C6">
      <w:pPr>
        <w:tabs>
          <w:tab w:val="left" w:pos="0"/>
        </w:tabs>
        <w:rPr>
          <w:rFonts w:ascii="GHEA Grapalat" w:hAnsi="GHEA Grapalat"/>
          <w:b/>
          <w:sz w:val="22"/>
          <w:szCs w:val="22"/>
        </w:rPr>
      </w:pPr>
    </w:p>
    <w:sdt>
      <w:sdtPr>
        <w:rPr>
          <w:rStyle w:val="Hyperlink"/>
          <w:rFonts w:ascii="Arial Armenian" w:hAnsi="Arial Armenian" w:cs="Times New Roman"/>
          <w:b w:val="0"/>
          <w:bCs w:val="0"/>
          <w:caps w:val="0"/>
          <w:noProof w:val="0"/>
          <w:sz w:val="22"/>
          <w:szCs w:val="22"/>
          <w:lang w:val="hy-AM"/>
        </w:rPr>
        <w:id w:val="-1015307837"/>
        <w:docPartObj>
          <w:docPartGallery w:val="Table of Contents"/>
          <w:docPartUnique/>
        </w:docPartObj>
      </w:sdtPr>
      <w:sdtEndPr>
        <w:rPr>
          <w:rStyle w:val="DefaultParagraphFont"/>
          <w:color w:val="auto"/>
          <w:sz w:val="24"/>
          <w:szCs w:val="24"/>
          <w:u w:val="none"/>
          <w:lang w:val="en-US"/>
        </w:rPr>
      </w:sdtEndPr>
      <w:sdtContent>
        <w:p w:rsidR="003E0B7E" w:rsidRDefault="00E37514">
          <w:pPr>
            <w:pStyle w:val="TOC1"/>
            <w:rPr>
              <w:rFonts w:asciiTheme="minorHAnsi" w:eastAsiaTheme="minorEastAsia" w:hAnsiTheme="minorHAnsi" w:cstheme="minorBidi"/>
              <w:b w:val="0"/>
              <w:bCs w:val="0"/>
              <w:caps w:val="0"/>
              <w:color w:val="auto"/>
              <w:sz w:val="22"/>
              <w:szCs w:val="22"/>
            </w:rPr>
          </w:pPr>
          <w:r w:rsidRPr="00E57C0E">
            <w:fldChar w:fldCharType="begin"/>
          </w:r>
          <w:r w:rsidRPr="00E57C0E">
            <w:instrText xml:space="preserve"> TOC \o "1-3" \h \z \u </w:instrText>
          </w:r>
          <w:r w:rsidRPr="00E57C0E">
            <w:fldChar w:fldCharType="separate"/>
          </w:r>
          <w:hyperlink w:anchor="_Toc165293248" w:history="1">
            <w:r w:rsidR="003E0B7E" w:rsidRPr="00637FEC">
              <w:rPr>
                <w:rStyle w:val="Hyperlink"/>
                <w:lang w:val="hy-AM"/>
              </w:rPr>
              <w:t>ՀԱՅԱՍՏԱՆԻ ՀԱՆՐԱՊԵՏՈՒԹՅԱՆ ՄԱԿՐՈՏՆՏԵՍԱԿԱՆ ԵՎ ՀԱՐԿԱԲՅՈՒՋԵՏԱՅԻՆ ԶԱՐԳԱՑՈՒՄՆԵՐԸ 2023 ԹՎԱԿԱՆԻ ԱՌԱՋԻՆ ԿԻՍԱՄՅԱԿՈՒՄ</w:t>
            </w:r>
            <w:r w:rsidR="003E0B7E">
              <w:rPr>
                <w:webHidden/>
              </w:rPr>
              <w:tab/>
            </w:r>
            <w:r w:rsidR="003E0B7E">
              <w:rPr>
                <w:webHidden/>
              </w:rPr>
              <w:fldChar w:fldCharType="begin"/>
            </w:r>
            <w:r w:rsidR="003E0B7E">
              <w:rPr>
                <w:webHidden/>
              </w:rPr>
              <w:instrText xml:space="preserve"> PAGEREF _Toc165293248 \h </w:instrText>
            </w:r>
            <w:r w:rsidR="003E0B7E">
              <w:rPr>
                <w:webHidden/>
              </w:rPr>
            </w:r>
            <w:r w:rsidR="003E0B7E">
              <w:rPr>
                <w:webHidden/>
              </w:rPr>
              <w:fldChar w:fldCharType="separate"/>
            </w:r>
            <w:r w:rsidR="003E0B7E">
              <w:rPr>
                <w:webHidden/>
              </w:rPr>
              <w:t>3</w:t>
            </w:r>
            <w:r w:rsidR="003E0B7E">
              <w:rPr>
                <w:webHidden/>
              </w:rPr>
              <w:fldChar w:fldCharType="end"/>
            </w:r>
          </w:hyperlink>
        </w:p>
        <w:p w:rsidR="003E0B7E" w:rsidRDefault="003E0B7E">
          <w:pPr>
            <w:pStyle w:val="TOC2"/>
            <w:rPr>
              <w:rFonts w:asciiTheme="minorHAnsi" w:eastAsiaTheme="minorEastAsia" w:hAnsiTheme="minorHAnsi" w:cstheme="minorBidi"/>
              <w:bCs w:val="0"/>
              <w:sz w:val="22"/>
              <w:szCs w:val="22"/>
              <w:lang w:val="en-US"/>
            </w:rPr>
          </w:pPr>
          <w:hyperlink w:anchor="_Toc165293249" w:history="1">
            <w:r w:rsidRPr="00637FEC">
              <w:rPr>
                <w:rStyle w:val="Hyperlink"/>
                <w:lang w:val="de-AT"/>
              </w:rPr>
              <w:t>ՄԱԿՐՈՏՆՏԵՍԱԿԱՆ ԵՎ ՀԱՐԿԱԲՅՈՒՋԵՏԱՅԻՆ ԱՄՓՈՓԱԳԻՐ</w:t>
            </w:r>
            <w:r>
              <w:rPr>
                <w:webHidden/>
              </w:rPr>
              <w:tab/>
            </w:r>
            <w:r>
              <w:rPr>
                <w:webHidden/>
              </w:rPr>
              <w:fldChar w:fldCharType="begin"/>
            </w:r>
            <w:r>
              <w:rPr>
                <w:webHidden/>
              </w:rPr>
              <w:instrText xml:space="preserve"> PAGEREF _Toc165293249 \h </w:instrText>
            </w:r>
            <w:r>
              <w:rPr>
                <w:webHidden/>
              </w:rPr>
            </w:r>
            <w:r>
              <w:rPr>
                <w:webHidden/>
              </w:rPr>
              <w:fldChar w:fldCharType="separate"/>
            </w:r>
            <w:r>
              <w:rPr>
                <w:webHidden/>
              </w:rPr>
              <w:t>3</w:t>
            </w:r>
            <w:r>
              <w:rPr>
                <w:webHidden/>
              </w:rPr>
              <w:fldChar w:fldCharType="end"/>
            </w:r>
          </w:hyperlink>
        </w:p>
        <w:p w:rsidR="003E0B7E" w:rsidRDefault="003E0B7E">
          <w:pPr>
            <w:pStyle w:val="TOC2"/>
            <w:rPr>
              <w:rFonts w:asciiTheme="minorHAnsi" w:eastAsiaTheme="minorEastAsia" w:hAnsiTheme="minorHAnsi" w:cstheme="minorBidi"/>
              <w:bCs w:val="0"/>
              <w:sz w:val="22"/>
              <w:szCs w:val="22"/>
              <w:lang w:val="en-US"/>
            </w:rPr>
          </w:pPr>
          <w:hyperlink w:anchor="_Toc165293250" w:history="1">
            <w:r w:rsidRPr="00637FEC">
              <w:rPr>
                <w:rStyle w:val="Hyperlink"/>
                <w:lang w:val="de-AT"/>
              </w:rPr>
              <w:t>ՄԱԿՐՈՏՆՏԵՍԱԿԱՆ ԶԱՐԳԱՑՈՒՄՆԵՐ</w:t>
            </w:r>
            <w:r>
              <w:rPr>
                <w:webHidden/>
              </w:rPr>
              <w:tab/>
            </w:r>
            <w:r>
              <w:rPr>
                <w:webHidden/>
              </w:rPr>
              <w:fldChar w:fldCharType="begin"/>
            </w:r>
            <w:r>
              <w:rPr>
                <w:webHidden/>
              </w:rPr>
              <w:instrText xml:space="preserve"> PAGEREF _Toc165293250 \h </w:instrText>
            </w:r>
            <w:r>
              <w:rPr>
                <w:webHidden/>
              </w:rPr>
            </w:r>
            <w:r>
              <w:rPr>
                <w:webHidden/>
              </w:rPr>
              <w:fldChar w:fldCharType="separate"/>
            </w:r>
            <w:r>
              <w:rPr>
                <w:webHidden/>
              </w:rPr>
              <w:t>5</w:t>
            </w:r>
            <w:r>
              <w:rPr>
                <w:webHidden/>
              </w:rPr>
              <w:fldChar w:fldCharType="end"/>
            </w:r>
          </w:hyperlink>
        </w:p>
        <w:p w:rsidR="003E0B7E" w:rsidRDefault="003E0B7E">
          <w:pPr>
            <w:pStyle w:val="TOC2"/>
            <w:rPr>
              <w:rFonts w:asciiTheme="minorHAnsi" w:eastAsiaTheme="minorEastAsia" w:hAnsiTheme="minorHAnsi" w:cstheme="minorBidi"/>
              <w:bCs w:val="0"/>
              <w:sz w:val="22"/>
              <w:szCs w:val="22"/>
              <w:lang w:val="en-US"/>
            </w:rPr>
          </w:pPr>
          <w:hyperlink w:anchor="_Toc165293251" w:history="1">
            <w:r w:rsidRPr="00637FEC">
              <w:rPr>
                <w:rStyle w:val="Hyperlink"/>
                <w:lang w:val="de-AT"/>
              </w:rPr>
              <w:t>Արտաքին միջավայրի զարգացումներ</w:t>
            </w:r>
            <w:r>
              <w:rPr>
                <w:webHidden/>
              </w:rPr>
              <w:tab/>
            </w:r>
            <w:r>
              <w:rPr>
                <w:webHidden/>
              </w:rPr>
              <w:fldChar w:fldCharType="begin"/>
            </w:r>
            <w:r>
              <w:rPr>
                <w:webHidden/>
              </w:rPr>
              <w:instrText xml:space="preserve"> PAGEREF _Toc165293251 \h </w:instrText>
            </w:r>
            <w:r>
              <w:rPr>
                <w:webHidden/>
              </w:rPr>
            </w:r>
            <w:r>
              <w:rPr>
                <w:webHidden/>
              </w:rPr>
              <w:fldChar w:fldCharType="separate"/>
            </w:r>
            <w:r>
              <w:rPr>
                <w:webHidden/>
              </w:rPr>
              <w:t>5</w:t>
            </w:r>
            <w:r>
              <w:rPr>
                <w:webHidden/>
              </w:rPr>
              <w:fldChar w:fldCharType="end"/>
            </w:r>
          </w:hyperlink>
        </w:p>
        <w:p w:rsidR="003E0B7E" w:rsidRDefault="003E0B7E">
          <w:pPr>
            <w:pStyle w:val="TOC2"/>
            <w:rPr>
              <w:rFonts w:asciiTheme="minorHAnsi" w:eastAsiaTheme="minorEastAsia" w:hAnsiTheme="minorHAnsi" w:cstheme="minorBidi"/>
              <w:bCs w:val="0"/>
              <w:sz w:val="22"/>
              <w:szCs w:val="22"/>
              <w:lang w:val="en-US"/>
            </w:rPr>
          </w:pPr>
          <w:hyperlink w:anchor="_Toc165293252" w:history="1">
            <w:r w:rsidRPr="00637FEC">
              <w:rPr>
                <w:rStyle w:val="Hyperlink"/>
                <w:lang w:val="de-AT"/>
              </w:rPr>
              <w:t>ՀՀ մակրոտնտեսական զարգացումներ</w:t>
            </w:r>
            <w:r>
              <w:rPr>
                <w:webHidden/>
              </w:rPr>
              <w:tab/>
            </w:r>
            <w:r>
              <w:rPr>
                <w:webHidden/>
              </w:rPr>
              <w:fldChar w:fldCharType="begin"/>
            </w:r>
            <w:r>
              <w:rPr>
                <w:webHidden/>
              </w:rPr>
              <w:instrText xml:space="preserve"> PAGEREF _Toc165293252 \h </w:instrText>
            </w:r>
            <w:r>
              <w:rPr>
                <w:webHidden/>
              </w:rPr>
            </w:r>
            <w:r>
              <w:rPr>
                <w:webHidden/>
              </w:rPr>
              <w:fldChar w:fldCharType="separate"/>
            </w:r>
            <w:r>
              <w:rPr>
                <w:webHidden/>
              </w:rPr>
              <w:t>8</w:t>
            </w:r>
            <w:r>
              <w:rPr>
                <w:webHidden/>
              </w:rPr>
              <w:fldChar w:fldCharType="end"/>
            </w:r>
          </w:hyperlink>
        </w:p>
        <w:p w:rsidR="003E0B7E" w:rsidRDefault="003E0B7E">
          <w:pPr>
            <w:pStyle w:val="TOC2"/>
            <w:rPr>
              <w:rFonts w:asciiTheme="minorHAnsi" w:eastAsiaTheme="minorEastAsia" w:hAnsiTheme="minorHAnsi" w:cstheme="minorBidi"/>
              <w:bCs w:val="0"/>
              <w:sz w:val="22"/>
              <w:szCs w:val="22"/>
              <w:lang w:val="en-US"/>
            </w:rPr>
          </w:pPr>
          <w:hyperlink w:anchor="_Toc165293253" w:history="1">
            <w:r w:rsidRPr="00637FEC">
              <w:rPr>
                <w:rStyle w:val="Hyperlink"/>
                <w:lang w:val="de-AT"/>
              </w:rPr>
              <w:t>ՀԱՐԿԱԲՅՈՒՋԵՏԱՅԻՆ ՔԱՂԱՔԱԿԱՆՈՒԹՅԱՆ ՀԻՄՆԱԿԱՆ ԶԱՐԳԱՑՈՒՄՆԵՐԸ</w:t>
            </w:r>
            <w:r>
              <w:rPr>
                <w:webHidden/>
              </w:rPr>
              <w:tab/>
            </w:r>
            <w:r>
              <w:rPr>
                <w:webHidden/>
              </w:rPr>
              <w:fldChar w:fldCharType="begin"/>
            </w:r>
            <w:r>
              <w:rPr>
                <w:webHidden/>
              </w:rPr>
              <w:instrText xml:space="preserve"> PAGEREF _Toc165293253 \h </w:instrText>
            </w:r>
            <w:r>
              <w:rPr>
                <w:webHidden/>
              </w:rPr>
            </w:r>
            <w:r>
              <w:rPr>
                <w:webHidden/>
              </w:rPr>
              <w:fldChar w:fldCharType="separate"/>
            </w:r>
            <w:r>
              <w:rPr>
                <w:webHidden/>
              </w:rPr>
              <w:t>29</w:t>
            </w:r>
            <w:r>
              <w:rPr>
                <w:webHidden/>
              </w:rPr>
              <w:fldChar w:fldCharType="end"/>
            </w:r>
          </w:hyperlink>
        </w:p>
        <w:p w:rsidR="003E0B7E" w:rsidRDefault="003E0B7E">
          <w:pPr>
            <w:pStyle w:val="TOC2"/>
            <w:rPr>
              <w:rFonts w:asciiTheme="minorHAnsi" w:eastAsiaTheme="minorEastAsia" w:hAnsiTheme="minorHAnsi" w:cstheme="minorBidi"/>
              <w:bCs w:val="0"/>
              <w:sz w:val="22"/>
              <w:szCs w:val="22"/>
              <w:lang w:val="en-US"/>
            </w:rPr>
          </w:pPr>
          <w:hyperlink w:anchor="_Toc165293254" w:history="1">
            <w:r w:rsidRPr="00637FEC">
              <w:rPr>
                <w:rStyle w:val="Hyperlink"/>
                <w:lang w:val="de-AT"/>
              </w:rPr>
              <w:t>Աղյուսակ 1: Տնտեսության ճյուղերի և ենթաճյուղերի, արտահանման և ներմուծման ապրանքախմբերի հիմնական ցուցանիշները</w:t>
            </w:r>
            <w:r>
              <w:rPr>
                <w:webHidden/>
              </w:rPr>
              <w:tab/>
            </w:r>
            <w:r>
              <w:rPr>
                <w:webHidden/>
              </w:rPr>
              <w:fldChar w:fldCharType="begin"/>
            </w:r>
            <w:r>
              <w:rPr>
                <w:webHidden/>
              </w:rPr>
              <w:instrText xml:space="preserve"> PAGEREF _Toc165293254 \h </w:instrText>
            </w:r>
            <w:r>
              <w:rPr>
                <w:webHidden/>
              </w:rPr>
            </w:r>
            <w:r>
              <w:rPr>
                <w:webHidden/>
              </w:rPr>
              <w:fldChar w:fldCharType="separate"/>
            </w:r>
            <w:r>
              <w:rPr>
                <w:webHidden/>
              </w:rPr>
              <w:t>32</w:t>
            </w:r>
            <w:r>
              <w:rPr>
                <w:webHidden/>
              </w:rPr>
              <w:fldChar w:fldCharType="end"/>
            </w:r>
          </w:hyperlink>
        </w:p>
        <w:p w:rsidR="00647147" w:rsidRPr="00E57C0E" w:rsidRDefault="00E37514" w:rsidP="00E37514">
          <w:pPr>
            <w:rPr>
              <w:rFonts w:ascii="GHEA Grapalat" w:hAnsi="GHEA Grapalat"/>
            </w:rPr>
            <w:sectPr w:rsidR="00647147" w:rsidRPr="00E57C0E" w:rsidSect="00E37514">
              <w:footerReference w:type="default" r:id="rId8"/>
              <w:pgSz w:w="11907" w:h="16840" w:code="9"/>
              <w:pgMar w:top="1134" w:right="567" w:bottom="567" w:left="1134" w:header="567" w:footer="340" w:gutter="0"/>
              <w:pgNumType w:start="2"/>
              <w:cols w:space="720"/>
            </w:sectPr>
          </w:pPr>
          <w:r w:rsidRPr="00E57C0E">
            <w:rPr>
              <w:rFonts w:ascii="GHEA Grapalat" w:hAnsi="GHEA Grapalat"/>
              <w:b/>
              <w:bCs/>
              <w:noProof/>
            </w:rPr>
            <w:fldChar w:fldCharType="end"/>
          </w:r>
        </w:p>
        <w:bookmarkStart w:id="2" w:name="_GoBack" w:displacedByCustomXml="next"/>
        <w:bookmarkEnd w:id="2" w:displacedByCustomXml="next"/>
      </w:sdtContent>
    </w:sdt>
    <w:p w:rsidR="003E0B7E" w:rsidRPr="00E57C0E" w:rsidRDefault="003E0B7E" w:rsidP="003E0B7E">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3" w:name="_Toc100247626"/>
      <w:bookmarkStart w:id="4" w:name="_Toc87365141"/>
      <w:bookmarkStart w:id="5" w:name="_Toc8210486"/>
      <w:bookmarkStart w:id="6" w:name="_Toc71311890"/>
      <w:bookmarkStart w:id="7" w:name="_Toc165293248"/>
      <w:bookmarkEnd w:id="0"/>
      <w:bookmarkEnd w:id="1"/>
      <w:r w:rsidRPr="00E57C0E">
        <w:rPr>
          <w:rFonts w:ascii="GHEA Grapalat" w:hAnsi="GHEA Grapalat" w:cs="Sylfaen"/>
          <w:noProof/>
          <w:sz w:val="22"/>
          <w:szCs w:val="22"/>
          <w:lang w:val="hy-AM"/>
        </w:rPr>
        <w:lastRenderedPageBreak/>
        <w:t>ՀԱՅԱՍՏԱՆԻ ՀԱՆՐԱՊԵՏՈՒԹՅԱՆ ՄԱԿՐՈՏՆՏԵՍԱԿԱՆ ԵՎ ՀԱՐԿԱԲՅՈՒՋԵՏԱՅԻՆ ԶԱՐԳԱՑՈՒՄՆԵՐԸ 2023 ԹՎԱԿԱՆԻ ԱՌԱՋԻՆ ԿԻՍԱՄՅԱԿՈՒՄ</w:t>
      </w:r>
      <w:bookmarkEnd w:id="7"/>
    </w:p>
    <w:p w:rsidR="003E0B7E" w:rsidRDefault="003E0B7E" w:rsidP="00756F85">
      <w:pPr>
        <w:spacing w:line="360" w:lineRule="auto"/>
        <w:rPr>
          <w:rFonts w:ascii="GHEA Grapalat" w:eastAsia="GHEA Grapalat" w:hAnsi="GHEA Grapalat"/>
          <w:b/>
          <w:noProof/>
          <w:sz w:val="22"/>
          <w:szCs w:val="22"/>
          <w:lang w:val="hy-AM"/>
        </w:rPr>
      </w:pPr>
    </w:p>
    <w:p w:rsidR="00756F85" w:rsidRPr="003E0B7E" w:rsidRDefault="00756F85" w:rsidP="003E0B7E">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8" w:name="_Toc165293249"/>
      <w:r w:rsidRPr="003E0B7E">
        <w:rPr>
          <w:rFonts w:ascii="GHEA Grapalat" w:hAnsi="GHEA Grapalat"/>
          <w:i w:val="0"/>
          <w:noProof/>
          <w:sz w:val="22"/>
          <w:szCs w:val="22"/>
          <w:lang w:val="de-AT"/>
        </w:rPr>
        <w:t>ՄԱԿՐՈՏՆՏԵՍԱԿԱՆ ԵՎ ՀԱՐԿԱԲՅՈՒՋԵՏԱՅԻՆ ԱՄՓՈՓԱԳԻՐ</w:t>
      </w:r>
      <w:bookmarkEnd w:id="3"/>
      <w:bookmarkEnd w:id="8"/>
    </w:p>
    <w:p w:rsidR="00F66911" w:rsidRPr="00E57C0E" w:rsidRDefault="0083002C"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szCs w:val="22"/>
          <w:lang w:val="hy-AM"/>
        </w:rPr>
        <w:t xml:space="preserve"> </w:t>
      </w:r>
      <w:r w:rsidR="00F66911" w:rsidRPr="00E57C0E">
        <w:rPr>
          <w:rFonts w:ascii="GHEA Grapalat" w:hAnsi="GHEA Grapalat"/>
          <w:sz w:val="22"/>
          <w:lang w:val="hy-AM"/>
        </w:rPr>
        <w:t>2023 թվականի առաջին կիսամյակում համաշխարհային մատակարարման շղթաների աստիճանական վերականգնման, Չինաստանի տնտեսության վերականգնման, ինչպես նաև կենտրոնական բանկերի կողմից կիրառվող զսպող դրամավարկային քաղաքականության արդյունքում ՀՀ հիմնական գործընկեր երկրներում գրանցվել են ներուժային աճերից ցածր տնտեսական աճեր, իսկ ՌԴ-ում տնտեսական աճը վերջին ամիսներին մտել է դրական տիրույթ: Գնաճային ճնշումները թուլացել են՝ պայմանավորված համաշխարհային մատակարարման շղթաների վերականգնմամբ, ինչպես նաև կենտրոնական բանկերի կողմից վարվող խստացող դրամավարկային քաղաքականությամբ, որի պայմաններում նկատվում է գնաճի տեմպերի դանդաղում:</w:t>
      </w:r>
    </w:p>
    <w:p w:rsidR="00F66911"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Դեպի Հայաստան մարդկանց ներհոսքով, զբոսաշրջության զգալի ավելացման, տեղեկատվական տեխնոլոգիաների ոլորտի ընկերությունների</w:t>
      </w:r>
      <w:r w:rsidR="008F42CF" w:rsidRPr="00A857DF">
        <w:rPr>
          <w:rFonts w:ascii="GHEA Grapalat" w:hAnsi="GHEA Grapalat"/>
          <w:sz w:val="22"/>
          <w:lang w:val="hy-AM"/>
        </w:rPr>
        <w:t>՝</w:t>
      </w:r>
      <w:r w:rsidRPr="00E57C0E">
        <w:rPr>
          <w:rFonts w:ascii="GHEA Grapalat" w:hAnsi="GHEA Grapalat"/>
          <w:sz w:val="22"/>
          <w:lang w:val="hy-AM"/>
        </w:rPr>
        <w:t xml:space="preserve"> ՀՀ տեղափոխման, ինչպես նաև ՀՀ-ից դեպի Ռուսաստան արտահանման պահանջարկի ավելացման արդյունքում ձևավորված տնտեսական ակտիվության աճի բարձր տեմպերը շարունակվել են նաև 2023</w:t>
      </w:r>
      <w:r w:rsidR="008F42CF" w:rsidRPr="00A857DF">
        <w:rPr>
          <w:rFonts w:ascii="GHEA Grapalat" w:hAnsi="GHEA Grapalat"/>
          <w:sz w:val="22"/>
          <w:lang w:val="hy-AM"/>
        </w:rPr>
        <w:t xml:space="preserve"> </w:t>
      </w:r>
      <w:r w:rsidRPr="00E57C0E">
        <w:rPr>
          <w:rFonts w:ascii="GHEA Grapalat" w:hAnsi="GHEA Grapalat"/>
          <w:sz w:val="22"/>
          <w:lang w:val="hy-AM"/>
        </w:rPr>
        <w:t>թ</w:t>
      </w:r>
      <w:r w:rsidR="008F42CF" w:rsidRPr="00A857DF">
        <w:rPr>
          <w:rFonts w:ascii="GHEA Grapalat" w:hAnsi="GHEA Grapalat"/>
          <w:sz w:val="22"/>
          <w:lang w:val="hy-AM"/>
        </w:rPr>
        <w:t>վականի</w:t>
      </w:r>
      <w:r w:rsidRPr="00E57C0E">
        <w:rPr>
          <w:rFonts w:ascii="GHEA Grapalat" w:hAnsi="GHEA Grapalat"/>
          <w:sz w:val="22"/>
          <w:lang w:val="hy-AM"/>
        </w:rPr>
        <w:t xml:space="preserve"> առաջին կիսամյակում։ Արդյունքում հունվար-հունիսին գրանցվել է 11.4% տնտեսական ակտիվության աճ` պայմանավորված հիմնականում ծառայությունների աճով: Տնտեսության մյուս ճյուղերում նույնպես գրանցվել է թողարկման ծավալների աճ: </w:t>
      </w:r>
    </w:p>
    <w:p w:rsidR="00F66911"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 xml:space="preserve">2023 թվականի առաջին կիսամյակում ներքին բարձր պահանջարկի և արտաքին որոշ շուկաներում ՀՀ ապրանքների նկատմամբ պահանջարկի ավելացման պայմաններում արտաքին առևտուրը նշանակալի աճ է գրանցել. ապրանքների արտահանումն աճել է 72.8%-ով, իսկ ներմուծումը՝ 73%-ով։ </w:t>
      </w:r>
    </w:p>
    <w:p w:rsidR="00F66911"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2023</w:t>
      </w:r>
      <w:r w:rsidR="008F42CF" w:rsidRPr="00A857DF">
        <w:rPr>
          <w:rFonts w:ascii="GHEA Grapalat" w:hAnsi="GHEA Grapalat"/>
          <w:sz w:val="22"/>
          <w:lang w:val="hy-AM"/>
        </w:rPr>
        <w:t xml:space="preserve"> </w:t>
      </w:r>
      <w:r w:rsidRPr="00E57C0E">
        <w:rPr>
          <w:rFonts w:ascii="GHEA Grapalat" w:hAnsi="GHEA Grapalat"/>
          <w:sz w:val="22"/>
          <w:lang w:val="hy-AM"/>
        </w:rPr>
        <w:t>թ</w:t>
      </w:r>
      <w:r w:rsidR="008F42CF" w:rsidRPr="00A857DF">
        <w:rPr>
          <w:rFonts w:ascii="GHEA Grapalat" w:hAnsi="GHEA Grapalat"/>
          <w:sz w:val="22"/>
          <w:lang w:val="hy-AM"/>
        </w:rPr>
        <w:t>վական</w:t>
      </w:r>
      <w:r w:rsidR="008F42CF" w:rsidRPr="00E57C0E">
        <w:rPr>
          <w:rFonts w:ascii="GHEA Grapalat" w:hAnsi="GHEA Grapalat"/>
          <w:sz w:val="22"/>
          <w:lang w:val="hy-AM"/>
        </w:rPr>
        <w:t>ի առաջին կիսամյակում 12-</w:t>
      </w:r>
      <w:r w:rsidRPr="00E57C0E">
        <w:rPr>
          <w:rFonts w:ascii="GHEA Grapalat" w:hAnsi="GHEA Grapalat"/>
          <w:sz w:val="22"/>
          <w:lang w:val="hy-AM"/>
        </w:rPr>
        <w:t>ամսյա գնաճը կտրուկ դանդաղել է և մտել բացասական տիրույթ՝ հունիսին կազմելով -0.5%, սակայն տնտեսությունում բարձր պահանջարկը,</w:t>
      </w:r>
      <w:r w:rsidR="00A123E2" w:rsidRPr="00E57C0E">
        <w:rPr>
          <w:rFonts w:ascii="GHEA Grapalat" w:hAnsi="GHEA Grapalat"/>
          <w:sz w:val="22"/>
          <w:lang w:val="hy-AM"/>
        </w:rPr>
        <w:t xml:space="preserve"> </w:t>
      </w:r>
      <w:r w:rsidRPr="00E57C0E">
        <w:rPr>
          <w:rFonts w:ascii="GHEA Grapalat" w:hAnsi="GHEA Grapalat"/>
          <w:sz w:val="22"/>
          <w:lang w:val="hy-AM"/>
        </w:rPr>
        <w:t>աշխատավարձերի աճի բարձր տեմպերն ու գնաճային սպասումները պահպանվում են։ Վերջինս հիմք ընդունելով՝ ԿԲ-ն նվազեցրել է քաղաքականության տոկոսադրույք</w:t>
      </w:r>
      <w:r w:rsidR="005D7729" w:rsidRPr="00A857DF">
        <w:rPr>
          <w:rFonts w:ascii="GHEA Grapalat" w:hAnsi="GHEA Grapalat"/>
          <w:sz w:val="22"/>
          <w:lang w:val="hy-AM"/>
        </w:rPr>
        <w:t>ն</w:t>
      </w:r>
      <w:r w:rsidRPr="00E57C0E">
        <w:rPr>
          <w:rFonts w:ascii="GHEA Grapalat" w:hAnsi="GHEA Grapalat"/>
          <w:sz w:val="22"/>
          <w:lang w:val="hy-AM"/>
        </w:rPr>
        <w:t xml:space="preserve"> ընդամենը 0.25 տոկոսային կետով։</w:t>
      </w:r>
    </w:p>
    <w:p w:rsidR="00F66911"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 xml:space="preserve">2023 թվականի առաջին կիսամյակում բանկային համակարգի վարկերի և ավանդների ծավալների աճերը շարունակել են արագանալ։ Վարկերի աճին շարունակել է ամենամեծ նպաստումն ունենալ </w:t>
      </w:r>
      <w:r w:rsidR="00BA01E2" w:rsidRPr="00E57C0E">
        <w:rPr>
          <w:rFonts w:ascii="GHEA Grapalat" w:hAnsi="GHEA Grapalat"/>
          <w:sz w:val="22"/>
          <w:lang w:val="hy-AM"/>
        </w:rPr>
        <w:t>հիպոտեկ</w:t>
      </w:r>
      <w:r w:rsidRPr="00E57C0E">
        <w:rPr>
          <w:rFonts w:ascii="GHEA Grapalat" w:hAnsi="GHEA Grapalat"/>
          <w:sz w:val="22"/>
          <w:lang w:val="hy-AM"/>
        </w:rPr>
        <w:t xml:space="preserve">ային վարկերի աճը՝ օժանդակություն ստանալով եկամտային հարկի վերադարձի պետական ծրագրից։ Ավանդները վարկերին առաջանցիկ բարձր աճի տեմպեր են գրանցել՝ արտացոլելով ինչպես ոչ ռեզիդենտների ավանդների ներհոսքի կտրուկ </w:t>
      </w:r>
      <w:r w:rsidRPr="00E57C0E">
        <w:rPr>
          <w:rFonts w:ascii="GHEA Grapalat" w:hAnsi="GHEA Grapalat"/>
          <w:sz w:val="22"/>
          <w:lang w:val="hy-AM"/>
        </w:rPr>
        <w:lastRenderedPageBreak/>
        <w:t>արագացումը, այնպես էլ ռեզիդենտ ձեռնարկությունների և ֆիզիկական անձանց՝ հիմնականում ցպահանջ ավանդների աճը։</w:t>
      </w:r>
    </w:p>
    <w:p w:rsidR="00F66911"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2023</w:t>
      </w:r>
      <w:r w:rsidR="005D7729" w:rsidRPr="00A857DF">
        <w:rPr>
          <w:rFonts w:ascii="GHEA Grapalat" w:hAnsi="GHEA Grapalat"/>
          <w:sz w:val="22"/>
          <w:lang w:val="hy-AM"/>
        </w:rPr>
        <w:t xml:space="preserve"> </w:t>
      </w:r>
      <w:r w:rsidRPr="00E57C0E">
        <w:rPr>
          <w:rFonts w:ascii="GHEA Grapalat" w:hAnsi="GHEA Grapalat"/>
          <w:sz w:val="22"/>
          <w:lang w:val="hy-AM"/>
        </w:rPr>
        <w:t>թ</w:t>
      </w:r>
      <w:r w:rsidR="005D7729" w:rsidRPr="00A857DF">
        <w:rPr>
          <w:rFonts w:ascii="GHEA Grapalat" w:hAnsi="GHEA Grapalat"/>
          <w:sz w:val="22"/>
          <w:lang w:val="hy-AM"/>
        </w:rPr>
        <w:t>վականի</w:t>
      </w:r>
      <w:r w:rsidRPr="00E57C0E">
        <w:rPr>
          <w:rFonts w:ascii="GHEA Grapalat" w:hAnsi="GHEA Grapalat"/>
          <w:sz w:val="22"/>
          <w:lang w:val="hy-AM"/>
        </w:rPr>
        <w:t xml:space="preserve"> առաջին կիսամյակում բանկային տոկոսադրույքները նախորդ տարվա նույն ժամանակահատվածի համեմատ հիմնականում չափավոր ավելացել են, ինչը կարող է պայմանավորված լինել ինչպես վերաֆինանսավորման տոկոսադրույքի բարձրացմամբ, այնպես էլ պորտֆելի կառուցվածքի փոփոխություններով (տնտեսության ոլորտներին տրվող վարկերի կշռի նվազում և հիպո</w:t>
      </w:r>
      <w:r w:rsidR="003F3C17" w:rsidRPr="00A857DF">
        <w:rPr>
          <w:rFonts w:ascii="GHEA Grapalat" w:hAnsi="GHEA Grapalat"/>
          <w:sz w:val="22"/>
          <w:lang w:val="hy-AM"/>
        </w:rPr>
        <w:t>տ</w:t>
      </w:r>
      <w:r w:rsidR="003F3C17" w:rsidRPr="00E57C0E">
        <w:rPr>
          <w:rFonts w:ascii="GHEA Grapalat" w:hAnsi="GHEA Grapalat"/>
          <w:sz w:val="22"/>
          <w:lang w:val="hy-AM"/>
        </w:rPr>
        <w:t>եկ</w:t>
      </w:r>
      <w:r w:rsidRPr="00E57C0E">
        <w:rPr>
          <w:rFonts w:ascii="GHEA Grapalat" w:hAnsi="GHEA Grapalat"/>
          <w:sz w:val="22"/>
          <w:lang w:val="hy-AM"/>
        </w:rPr>
        <w:t>ային ու սպառողական վարկերի կշռի աճ) և առանձին վարկատեսակների (հիմնականում՝ հիպո</w:t>
      </w:r>
      <w:r w:rsidR="00A123E2" w:rsidRPr="00A857DF">
        <w:rPr>
          <w:rFonts w:ascii="GHEA Grapalat" w:hAnsi="GHEA Grapalat"/>
          <w:sz w:val="22"/>
          <w:lang w:val="hy-AM"/>
        </w:rPr>
        <w:t>տ</w:t>
      </w:r>
      <w:r w:rsidRPr="00E57C0E">
        <w:rPr>
          <w:rFonts w:ascii="GHEA Grapalat" w:hAnsi="GHEA Grapalat"/>
          <w:sz w:val="22"/>
          <w:lang w:val="hy-AM"/>
        </w:rPr>
        <w:t>ե</w:t>
      </w:r>
      <w:r w:rsidR="00A123E2" w:rsidRPr="00A857DF">
        <w:rPr>
          <w:rFonts w:ascii="GHEA Grapalat" w:hAnsi="GHEA Grapalat"/>
          <w:sz w:val="22"/>
          <w:lang w:val="hy-AM"/>
        </w:rPr>
        <w:t>կ</w:t>
      </w:r>
      <w:r w:rsidRPr="00E57C0E">
        <w:rPr>
          <w:rFonts w:ascii="GHEA Grapalat" w:hAnsi="GHEA Grapalat"/>
          <w:sz w:val="22"/>
          <w:lang w:val="hy-AM"/>
        </w:rPr>
        <w:t>ային) նկատմամբ պահանջարկի շարունակական աճով։ Դրամային պարտատոմսերի և եվրոբոնդերի տոկոսադրույքներ</w:t>
      </w:r>
      <w:r w:rsidR="00466EB8" w:rsidRPr="00A857DF">
        <w:rPr>
          <w:rFonts w:ascii="GHEA Grapalat" w:hAnsi="GHEA Grapalat"/>
          <w:sz w:val="22"/>
          <w:lang w:val="hy-AM"/>
        </w:rPr>
        <w:t>ն</w:t>
      </w:r>
      <w:r w:rsidRPr="00E57C0E">
        <w:rPr>
          <w:rFonts w:ascii="GHEA Grapalat" w:hAnsi="GHEA Grapalat"/>
          <w:sz w:val="22"/>
          <w:lang w:val="hy-AM"/>
        </w:rPr>
        <w:t xml:space="preserve"> ավելի բարձր մակարդակում են ձևավորվել, քան նախորդ տարվա նույն ժամանակահատվածում </w:t>
      </w:r>
      <w:r w:rsidRPr="00A857DF">
        <w:rPr>
          <w:rFonts w:ascii="GHEA Grapalat" w:hAnsi="GHEA Grapalat"/>
          <w:sz w:val="22"/>
          <w:lang w:val="hy-AM"/>
        </w:rPr>
        <w:t>(</w:t>
      </w:r>
      <w:r w:rsidRPr="00E57C0E">
        <w:rPr>
          <w:rFonts w:ascii="GHEA Grapalat" w:hAnsi="GHEA Grapalat"/>
          <w:sz w:val="22"/>
          <w:lang w:val="hy-AM"/>
        </w:rPr>
        <w:t>մինչդեռ կիսամյակի ընթացքում դիտվել է նվազման միտում</w:t>
      </w:r>
      <w:r w:rsidRPr="00A857DF">
        <w:rPr>
          <w:rFonts w:ascii="GHEA Grapalat" w:hAnsi="GHEA Grapalat"/>
          <w:sz w:val="22"/>
          <w:lang w:val="hy-AM"/>
        </w:rPr>
        <w:t>)</w:t>
      </w:r>
      <w:r w:rsidRPr="00E57C0E">
        <w:rPr>
          <w:rFonts w:ascii="GHEA Grapalat" w:hAnsi="GHEA Grapalat"/>
          <w:sz w:val="22"/>
          <w:lang w:val="hy-AM"/>
        </w:rPr>
        <w:t>, իսկ երկրի ռիսկի հավելավճարը նվազել է մինչև ռուս-ուկրաինական պատերազմին նախորդող մակարդակները։</w:t>
      </w:r>
    </w:p>
    <w:p w:rsidR="00F66911"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 xml:space="preserve">2023 թվականի առաջին կիսամյակում հարկման բազաների աճի պայմաններում ՀՀ պետական բյուջեի հարկային եկամուտներն աճել են բարձր տեմպերով՝ կազմելով 1103.5 մլրդ դրամ և նախորդ տարվա նույն ժամանակահատվածի համեմատ աճելով 18.9%-ով: Ընդ որում, չնայած առաջին կիսամյակի տնտեսական ակտիվությանը, հարկերի հավաքագրման աճի տեմպերը փոքր ինչ դանդաղել են եկամտային հարկի դրույքաչափի նվազման և վերադարձի ծավալների աճի, ինչպես նաև մետաղական հանքանյութերի նկատմամբ արտահանման տուրքի գործողության դադարեցմամբ: </w:t>
      </w:r>
    </w:p>
    <w:p w:rsidR="0083002C" w:rsidRPr="00E57C0E" w:rsidRDefault="00F66911" w:rsidP="00F66911">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E57C0E">
        <w:rPr>
          <w:rFonts w:ascii="GHEA Grapalat" w:hAnsi="GHEA Grapalat"/>
          <w:sz w:val="22"/>
          <w:lang w:val="hy-AM"/>
        </w:rPr>
        <w:t>2023 թվականի առաջին կիսամյակում նախորդ տարվա նույն ժամանակահատվածի համեմատ պետական բյուջեի եկամուտների գերակատարման և ծախսերի թերակատարման արդյունքում պետական բյուջեն եղել է հավելուրդային։ Իսկ հարկաբյուջետային քաղաքականության ազդեցությունն ամբողջական պահանջարկի վրա բարձր տնտեսական աճի պայմաններում գնահատվում է զսպող։</w:t>
      </w:r>
    </w:p>
    <w:p w:rsidR="00D46EE2" w:rsidRPr="00E57C0E" w:rsidRDefault="00D46EE2" w:rsidP="00D46EE2">
      <w:pPr>
        <w:spacing w:line="360" w:lineRule="auto"/>
        <w:rPr>
          <w:rFonts w:ascii="GHEA Grapalat" w:eastAsia="GHEA Grapalat" w:hAnsi="GHEA Grapalat"/>
          <w:b/>
          <w:sz w:val="22"/>
          <w:szCs w:val="22"/>
          <w:lang w:val="hy-AM"/>
        </w:rPr>
      </w:pPr>
    </w:p>
    <w:p w:rsidR="00711355" w:rsidRDefault="00711355">
      <w:pPr>
        <w:rPr>
          <w:rFonts w:ascii="GHEA Grapalat" w:hAnsi="GHEA Grapalat" w:cs="Sylfaen"/>
          <w:b/>
          <w:i/>
          <w:noProof/>
          <w:sz w:val="22"/>
          <w:szCs w:val="22"/>
          <w:lang w:val="hy-AM"/>
        </w:rPr>
      </w:pPr>
      <w:bookmarkStart w:id="9" w:name="_Toc71311877"/>
      <w:r>
        <w:rPr>
          <w:rFonts w:ascii="GHEA Grapalat" w:hAnsi="GHEA Grapalat" w:cs="Sylfaen"/>
          <w:noProof/>
          <w:sz w:val="22"/>
          <w:szCs w:val="22"/>
          <w:lang w:val="hy-AM"/>
        </w:rPr>
        <w:br w:type="page"/>
      </w:r>
    </w:p>
    <w:p w:rsidR="00563135" w:rsidRPr="00E57C0E"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10" w:name="_Toc71283305"/>
      <w:bookmarkStart w:id="11" w:name="_Toc71311879"/>
      <w:bookmarkStart w:id="12" w:name="_Toc165293250"/>
      <w:bookmarkEnd w:id="9"/>
      <w:r w:rsidRPr="00E57C0E">
        <w:rPr>
          <w:rFonts w:ascii="GHEA Grapalat" w:hAnsi="GHEA Grapalat"/>
          <w:i w:val="0"/>
          <w:noProof/>
          <w:sz w:val="22"/>
          <w:szCs w:val="22"/>
          <w:lang w:val="de-AT"/>
        </w:rPr>
        <w:lastRenderedPageBreak/>
        <w:t>ՄԱԿՐՈՏՆՏԵՍԱԿԱՆ ԶԱՐԳԱՑՈՒՄՆԵՐ</w:t>
      </w:r>
      <w:bookmarkEnd w:id="10"/>
      <w:bookmarkEnd w:id="11"/>
      <w:bookmarkEnd w:id="12"/>
    </w:p>
    <w:p w:rsidR="00563135" w:rsidRPr="00E57C0E"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3" w:name="_Toc71283306"/>
      <w:bookmarkStart w:id="14" w:name="_Toc71311880"/>
      <w:bookmarkStart w:id="15" w:name="_Toc165293251"/>
      <w:r w:rsidRPr="00E57C0E">
        <w:rPr>
          <w:rFonts w:ascii="GHEA Grapalat" w:hAnsi="GHEA Grapalat"/>
          <w:bCs/>
          <w:i w:val="0"/>
          <w:noProof/>
          <w:sz w:val="22"/>
          <w:szCs w:val="22"/>
          <w:lang w:val="de-AT"/>
        </w:rPr>
        <w:t>Արտաքին միջավայրի զարգացումներ</w:t>
      </w:r>
      <w:bookmarkEnd w:id="13"/>
      <w:bookmarkEnd w:id="14"/>
      <w:bookmarkEnd w:id="15"/>
    </w:p>
    <w:p w:rsidR="00163D29" w:rsidRPr="00A857DF" w:rsidRDefault="00664493" w:rsidP="00163D29">
      <w:pPr>
        <w:spacing w:line="360" w:lineRule="auto"/>
        <w:ind w:firstLine="567"/>
        <w:jc w:val="both"/>
        <w:rPr>
          <w:rFonts w:ascii="GHEA Grapalat" w:hAnsi="GHEA Grapalat"/>
          <w:sz w:val="22"/>
          <w:szCs w:val="22"/>
          <w:lang w:val="hy-AM"/>
        </w:rPr>
      </w:pPr>
      <w:bookmarkStart w:id="16" w:name="_Toc71283307"/>
      <w:bookmarkStart w:id="17" w:name="_Toc71311881"/>
      <w:r w:rsidRPr="00E57C0E">
        <w:rPr>
          <w:rFonts w:ascii="GHEA Grapalat" w:eastAsia="GHEA Grapalat" w:hAnsi="GHEA Grapalat" w:cs="GHEA Grapalat"/>
          <w:b/>
          <w:i/>
          <w:sz w:val="22"/>
          <w:szCs w:val="22"/>
          <w:lang w:val="hy-AM"/>
        </w:rPr>
        <w:t>Տնտեսական զարգացումներ</w:t>
      </w:r>
      <w:r w:rsidRPr="00E57C0E">
        <w:rPr>
          <w:rFonts w:ascii="GHEA Grapalat" w:hAnsi="GHEA Grapalat"/>
          <w:b/>
          <w:i/>
          <w:sz w:val="22"/>
          <w:szCs w:val="22"/>
          <w:lang w:val="af-ZA"/>
        </w:rPr>
        <w:t>:</w:t>
      </w:r>
      <w:r w:rsidR="006E27DC" w:rsidRPr="00E57C0E">
        <w:rPr>
          <w:rFonts w:ascii="GHEA Grapalat" w:hAnsi="GHEA Grapalat"/>
          <w:sz w:val="22"/>
          <w:szCs w:val="22"/>
          <w:lang w:val="af-ZA"/>
        </w:rPr>
        <w:t xml:space="preserve"> </w:t>
      </w:r>
      <w:r w:rsidR="00163D29" w:rsidRPr="00A857DF">
        <w:rPr>
          <w:rFonts w:ascii="GHEA Grapalat" w:hAnsi="GHEA Grapalat"/>
          <w:sz w:val="22"/>
          <w:szCs w:val="22"/>
          <w:lang w:val="hy-AM"/>
        </w:rPr>
        <w:t>2023</w:t>
      </w:r>
      <w:r w:rsidR="005E3E0D" w:rsidRPr="00A857DF">
        <w:rPr>
          <w:rFonts w:ascii="GHEA Grapalat" w:hAnsi="GHEA Grapalat"/>
          <w:sz w:val="22"/>
          <w:szCs w:val="22"/>
          <w:lang w:val="hy-AM"/>
        </w:rPr>
        <w:t xml:space="preserve"> </w:t>
      </w:r>
      <w:r w:rsidR="00163D29" w:rsidRPr="00A857DF">
        <w:rPr>
          <w:rFonts w:ascii="GHEA Grapalat" w:hAnsi="GHEA Grapalat"/>
          <w:sz w:val="22"/>
          <w:szCs w:val="22"/>
          <w:lang w:val="hy-AM"/>
        </w:rPr>
        <w:t>թ</w:t>
      </w:r>
      <w:r w:rsidR="005E3E0D" w:rsidRPr="00A857DF">
        <w:rPr>
          <w:rFonts w:ascii="GHEA Grapalat" w:hAnsi="GHEA Grapalat"/>
          <w:sz w:val="22"/>
          <w:szCs w:val="22"/>
          <w:lang w:val="hy-AM"/>
        </w:rPr>
        <w:t>վականի</w:t>
      </w:r>
      <w:r w:rsidR="00163D29" w:rsidRPr="00A857DF">
        <w:rPr>
          <w:rFonts w:ascii="GHEA Grapalat" w:hAnsi="GHEA Grapalat"/>
          <w:sz w:val="22"/>
          <w:szCs w:val="22"/>
          <w:lang w:val="hy-AM"/>
        </w:rPr>
        <w:t xml:space="preserve"> առաջին կիսամյակում հիմնական գործընկեր երկրներում տնտեսական աճը շարունակում է մնալ դրական տիրույթում, սակայն որոշ երկրներում նկատվում է աճի տեմպի դանդաղում, իսկ որոշներում՝ արագացում։ Աճը զսպող գործոններ են շարունակում մնալ ռուս-ուկրաինական հակամարտության բացասական հետևանքներն ու կենտրոնական բանկերի կողմից կիրառվող դրամավարկային քաղաքականության խստացումները: Տնտեսական ակտիվությանն առավելապես նպաստել է ծառայությունների ոլորտը, իսկ արդյունաբերության ոլորտի աճը զգալիորեն դանդաղել է</w:t>
      </w:r>
      <w:r w:rsidR="00163D29" w:rsidRPr="00E57C0E">
        <w:rPr>
          <w:rFonts w:ascii="GHEA Grapalat" w:hAnsi="GHEA Grapalat"/>
          <w:sz w:val="22"/>
          <w:szCs w:val="22"/>
          <w:vertAlign w:val="superscript"/>
        </w:rPr>
        <w:footnoteReference w:id="1"/>
      </w:r>
      <w:r w:rsidR="00163D29" w:rsidRPr="00A857DF">
        <w:rPr>
          <w:rFonts w:ascii="GHEA Grapalat" w:hAnsi="GHEA Grapalat"/>
          <w:sz w:val="22"/>
          <w:szCs w:val="22"/>
          <w:lang w:val="hy-AM"/>
        </w:rPr>
        <w:t>։ 2023 թվականի առաջին կիսամյակում ԱՄՆ տնտեսությունը նախորդ տարվա համապատասխան ժամանակահատվածի նկատմամբ գրանցել է միջինում 2</w:t>
      </w:r>
      <w:r w:rsidR="00163D29" w:rsidRPr="00A857DF">
        <w:rPr>
          <w:rFonts w:ascii="Cambria Math" w:hAnsi="Cambria Math" w:cs="Cambria Math"/>
          <w:sz w:val="22"/>
          <w:szCs w:val="22"/>
          <w:lang w:val="hy-AM"/>
        </w:rPr>
        <w:t>․</w:t>
      </w:r>
      <w:r w:rsidR="00163D29" w:rsidRPr="00A857DF">
        <w:rPr>
          <w:rFonts w:ascii="GHEA Grapalat" w:hAnsi="GHEA Grapalat"/>
          <w:sz w:val="22"/>
          <w:szCs w:val="22"/>
          <w:lang w:val="hy-AM"/>
        </w:rPr>
        <w:t>2% աճ, ընդ որում՝ առաջին եռամսյակում աճը կազմել է 1.8%, իսկ երկրորդ եռամսյակում՝ 2.6%</w:t>
      </w:r>
      <w:r w:rsidR="00163D29" w:rsidRPr="00E57C0E">
        <w:rPr>
          <w:rFonts w:ascii="GHEA Grapalat" w:hAnsi="GHEA Grapalat"/>
          <w:sz w:val="22"/>
          <w:szCs w:val="22"/>
          <w:vertAlign w:val="superscript"/>
        </w:rPr>
        <w:footnoteReference w:id="2"/>
      </w:r>
      <w:r w:rsidR="00163D29" w:rsidRPr="00A857DF">
        <w:rPr>
          <w:rFonts w:ascii="GHEA Grapalat" w:hAnsi="GHEA Grapalat"/>
          <w:sz w:val="22"/>
          <w:szCs w:val="22"/>
          <w:lang w:val="hy-AM"/>
        </w:rPr>
        <w:t>։ Եվրագոտու տնտեսությունն աճել է ավելի դանդաղ տեմպերով՝ 0.</w:t>
      </w:r>
      <w:r w:rsidR="001F28A7" w:rsidRPr="00A857DF">
        <w:rPr>
          <w:rFonts w:ascii="GHEA Grapalat" w:hAnsi="GHEA Grapalat"/>
          <w:sz w:val="22"/>
          <w:szCs w:val="22"/>
          <w:lang w:val="hy-AM"/>
        </w:rPr>
        <w:t>9</w:t>
      </w:r>
      <w:r w:rsidR="00163D29" w:rsidRPr="00A857DF">
        <w:rPr>
          <w:rFonts w:ascii="GHEA Grapalat" w:hAnsi="GHEA Grapalat"/>
          <w:sz w:val="22"/>
          <w:szCs w:val="22"/>
          <w:lang w:val="hy-AM"/>
        </w:rPr>
        <w:t>%, ընդ որում՝ առաջին եռամսյակում՝ 1.1%-ով, երկրորդ եռամսյակում՝ 0.6%-ով</w:t>
      </w:r>
      <w:r w:rsidR="00163D29" w:rsidRPr="00E57C0E">
        <w:rPr>
          <w:rFonts w:ascii="GHEA Grapalat" w:hAnsi="GHEA Grapalat"/>
          <w:sz w:val="22"/>
          <w:szCs w:val="22"/>
          <w:vertAlign w:val="superscript"/>
        </w:rPr>
        <w:footnoteReference w:id="3"/>
      </w:r>
      <w:r w:rsidR="00163D29" w:rsidRPr="00A857DF">
        <w:rPr>
          <w:rFonts w:ascii="GHEA Grapalat" w:hAnsi="GHEA Grapalat"/>
          <w:sz w:val="22"/>
          <w:szCs w:val="22"/>
          <w:lang w:val="hy-AM"/>
        </w:rPr>
        <w:t>։ Չինաստանում առաջին կիսամյակում միջինում գրանցվել է</w:t>
      </w:r>
      <w:r w:rsidR="008B7237" w:rsidRPr="00A857DF">
        <w:rPr>
          <w:rFonts w:ascii="GHEA Grapalat" w:hAnsi="GHEA Grapalat"/>
          <w:sz w:val="22"/>
          <w:szCs w:val="22"/>
          <w:lang w:val="hy-AM"/>
        </w:rPr>
        <w:t xml:space="preserve"> </w:t>
      </w:r>
      <w:r w:rsidR="00163D29" w:rsidRPr="00A857DF">
        <w:rPr>
          <w:rFonts w:ascii="GHEA Grapalat" w:hAnsi="GHEA Grapalat"/>
          <w:sz w:val="22"/>
          <w:szCs w:val="22"/>
          <w:lang w:val="hy-AM"/>
        </w:rPr>
        <w:t>5.4% աճ: ընդ որում՝ առաջին եռամսյակում գրանցվել է 4.5% տնտեսական աճ, իսկ երկրորդ եռամսյակում՝ 6.3%</w:t>
      </w:r>
      <w:r w:rsidR="00163D29" w:rsidRPr="00E57C0E">
        <w:rPr>
          <w:rFonts w:ascii="GHEA Grapalat" w:hAnsi="GHEA Grapalat"/>
          <w:sz w:val="22"/>
          <w:szCs w:val="22"/>
          <w:vertAlign w:val="superscript"/>
        </w:rPr>
        <w:footnoteReference w:id="4"/>
      </w:r>
      <w:r w:rsidR="00163D29" w:rsidRPr="00A857DF">
        <w:rPr>
          <w:rFonts w:ascii="GHEA Grapalat" w:hAnsi="GHEA Grapalat"/>
          <w:sz w:val="22"/>
          <w:szCs w:val="22"/>
          <w:lang w:val="hy-AM"/>
        </w:rPr>
        <w:t>՝ Ռուսաստանի Դաշնությունում առաջին եռամսյակի 1</w:t>
      </w:r>
      <w:r w:rsidR="00163D29" w:rsidRPr="00A857DF">
        <w:rPr>
          <w:rFonts w:ascii="Cambria Math" w:hAnsi="Cambria Math" w:cs="Cambria Math"/>
          <w:sz w:val="22"/>
          <w:szCs w:val="22"/>
          <w:lang w:val="hy-AM"/>
        </w:rPr>
        <w:t>․</w:t>
      </w:r>
      <w:r w:rsidR="00163D29" w:rsidRPr="00A857DF">
        <w:rPr>
          <w:rFonts w:ascii="GHEA Grapalat" w:hAnsi="GHEA Grapalat"/>
          <w:sz w:val="22"/>
          <w:szCs w:val="22"/>
          <w:lang w:val="hy-AM"/>
        </w:rPr>
        <w:t>8% անկումից հետո ապրիլ-հունիս ամիսներին տնտեսական աճը միջինում կազմել է 4</w:t>
      </w:r>
      <w:r w:rsidR="00163D29" w:rsidRPr="00A857DF">
        <w:rPr>
          <w:rFonts w:ascii="Cambria Math" w:hAnsi="Cambria Math" w:cs="Cambria Math"/>
          <w:sz w:val="22"/>
          <w:szCs w:val="22"/>
          <w:lang w:val="hy-AM"/>
        </w:rPr>
        <w:t>․</w:t>
      </w:r>
      <w:r w:rsidR="00163D29" w:rsidRPr="00A857DF">
        <w:rPr>
          <w:rFonts w:ascii="GHEA Grapalat" w:hAnsi="GHEA Grapalat"/>
          <w:sz w:val="22"/>
          <w:szCs w:val="22"/>
          <w:lang w:val="hy-AM"/>
        </w:rPr>
        <w:t>7%, մասնավորապես, ապրիլին՝ 3.3%, մայիսին՝ 5.4%, հունիսին՝ 5.3%</w:t>
      </w:r>
      <w:r w:rsidR="00163D29" w:rsidRPr="00E57C0E">
        <w:rPr>
          <w:rFonts w:ascii="GHEA Grapalat" w:hAnsi="GHEA Grapalat"/>
          <w:sz w:val="22"/>
          <w:szCs w:val="22"/>
          <w:vertAlign w:val="superscript"/>
        </w:rPr>
        <w:footnoteReference w:id="5"/>
      </w:r>
      <w:r w:rsidR="00163D29" w:rsidRPr="00A857DF">
        <w:rPr>
          <w:rFonts w:ascii="GHEA Grapalat" w:hAnsi="GHEA Grapalat"/>
          <w:sz w:val="22"/>
          <w:szCs w:val="22"/>
          <w:lang w:val="hy-AM"/>
        </w:rPr>
        <w:t>։</w:t>
      </w:r>
      <w:r w:rsidR="008B7237" w:rsidRPr="00A857DF">
        <w:rPr>
          <w:rFonts w:ascii="GHEA Grapalat" w:hAnsi="GHEA Grapalat"/>
          <w:sz w:val="22"/>
          <w:szCs w:val="22"/>
          <w:lang w:val="hy-AM"/>
        </w:rPr>
        <w:t xml:space="preserve"> </w:t>
      </w:r>
      <w:r w:rsidR="00163D29" w:rsidRPr="00A857DF">
        <w:rPr>
          <w:rFonts w:ascii="GHEA Grapalat" w:hAnsi="GHEA Grapalat"/>
          <w:sz w:val="22"/>
          <w:szCs w:val="22"/>
          <w:lang w:val="hy-AM"/>
        </w:rPr>
        <w:t>Առաջին կիսամյակի ընթացքում Ռուսաստանի տնտեսությունն աճել է միջինում 1.5%-ով, ինչն առավելապես պայմանավորված է մշակող արդյունաբերության (2.6%) գյուղատնտեսության (2.9%) և մանրածախ առևտրի (6.4%) աճերով։</w:t>
      </w:r>
    </w:p>
    <w:p w:rsidR="00163D29" w:rsidRPr="00A857DF" w:rsidRDefault="00163D29" w:rsidP="00BA193C">
      <w:pPr>
        <w:spacing w:line="360" w:lineRule="auto"/>
        <w:ind w:firstLine="567"/>
        <w:jc w:val="both"/>
        <w:rPr>
          <w:rFonts w:ascii="GHEA Grapalat" w:hAnsi="GHEA Grapalat"/>
          <w:sz w:val="22"/>
          <w:szCs w:val="22"/>
          <w:lang w:val="hy-AM"/>
        </w:rPr>
      </w:pPr>
    </w:p>
    <w:p w:rsidR="00163D29" w:rsidRPr="00A857DF" w:rsidRDefault="00163D29" w:rsidP="00BA193C">
      <w:pPr>
        <w:spacing w:line="360" w:lineRule="auto"/>
        <w:ind w:firstLine="567"/>
        <w:jc w:val="both"/>
        <w:rPr>
          <w:rFonts w:ascii="GHEA Grapalat" w:hAnsi="GHEA Grapalat"/>
          <w:sz w:val="22"/>
          <w:szCs w:val="22"/>
          <w:lang w:val="hy-AM"/>
        </w:rPr>
      </w:pPr>
    </w:p>
    <w:p w:rsidR="00163D29" w:rsidRPr="00A857DF" w:rsidRDefault="00163D29" w:rsidP="00BA193C">
      <w:pPr>
        <w:spacing w:line="360" w:lineRule="auto"/>
        <w:ind w:firstLine="567"/>
        <w:jc w:val="both"/>
        <w:rPr>
          <w:rFonts w:ascii="GHEA Grapalat" w:hAnsi="GHEA Grapalat"/>
          <w:sz w:val="22"/>
          <w:szCs w:val="22"/>
          <w:lang w:val="hy-AM"/>
        </w:rPr>
      </w:pPr>
    </w:p>
    <w:p w:rsidR="00163D29" w:rsidRPr="00A857DF" w:rsidRDefault="00163D29" w:rsidP="00BA193C">
      <w:pPr>
        <w:spacing w:line="360" w:lineRule="auto"/>
        <w:ind w:firstLine="567"/>
        <w:jc w:val="both"/>
        <w:rPr>
          <w:rFonts w:ascii="GHEA Grapalat" w:hAnsi="GHEA Grapalat"/>
          <w:sz w:val="22"/>
          <w:szCs w:val="22"/>
          <w:lang w:val="hy-AM"/>
        </w:rPr>
      </w:pPr>
    </w:p>
    <w:p w:rsidR="00163D29" w:rsidRPr="00A857DF" w:rsidRDefault="00163D29" w:rsidP="00163D29">
      <w:pPr>
        <w:spacing w:line="360" w:lineRule="auto"/>
        <w:ind w:firstLine="562"/>
        <w:contextualSpacing/>
        <w:jc w:val="both"/>
        <w:rPr>
          <w:rFonts w:ascii="GHEA Grapalat" w:eastAsia="GHEA Grapalat" w:hAnsi="GHEA Grapalat" w:cs="GHEA Grapalat"/>
          <w:sz w:val="22"/>
          <w:szCs w:val="22"/>
          <w:lang w:val="hy-AM"/>
        </w:rPr>
      </w:pPr>
    </w:p>
    <w:p w:rsidR="00163D29" w:rsidRPr="003E0B7E" w:rsidRDefault="00163D29" w:rsidP="00163D29">
      <w:pPr>
        <w:keepNext/>
        <w:keepLines/>
        <w:numPr>
          <w:ilvl w:val="0"/>
          <w:numId w:val="23"/>
        </w:numPr>
        <w:tabs>
          <w:tab w:val="left" w:pos="0"/>
          <w:tab w:val="left" w:pos="284"/>
          <w:tab w:val="left" w:pos="1276"/>
          <w:tab w:val="left" w:pos="1888"/>
        </w:tabs>
        <w:autoSpaceDE w:val="0"/>
        <w:autoSpaceDN w:val="0"/>
        <w:adjustRightInd w:val="0"/>
        <w:spacing w:after="240" w:line="360" w:lineRule="auto"/>
        <w:ind w:left="0" w:firstLine="0"/>
        <w:contextualSpacing/>
        <w:jc w:val="both"/>
        <w:rPr>
          <w:rFonts w:ascii="GHEA Grapalat" w:hAnsi="GHEA Grapalat" w:cs="Sylfaen"/>
          <w:sz w:val="22"/>
          <w:szCs w:val="22"/>
          <w:lang w:val="hy-AM"/>
        </w:rPr>
      </w:pPr>
      <w:r w:rsidRPr="003E0B7E">
        <w:rPr>
          <w:rFonts w:ascii="GHEA Grapalat" w:hAnsi="GHEA Grapalat" w:cs="Sylfaen"/>
          <w:sz w:val="22"/>
          <w:szCs w:val="22"/>
          <w:lang w:val="hy-AM"/>
        </w:rPr>
        <w:lastRenderedPageBreak/>
        <w:t>Գործընկեր երկրների տնտեսական աճեր</w:t>
      </w:r>
      <w:r w:rsidRPr="00E57C0E">
        <w:rPr>
          <w:rStyle w:val="FootnoteReference"/>
          <w:rFonts w:ascii="GHEA Grapalat" w:hAnsi="GHEA Grapalat" w:cs="Sylfaen"/>
          <w:sz w:val="22"/>
          <w:szCs w:val="22"/>
        </w:rPr>
        <w:footnoteReference w:id="6"/>
      </w:r>
      <w:r w:rsidRPr="003E0B7E">
        <w:rPr>
          <w:rFonts w:ascii="GHEA Grapalat" w:hAnsi="GHEA Grapalat" w:cs="Sylfaen"/>
          <w:sz w:val="22"/>
          <w:szCs w:val="22"/>
          <w:lang w:val="hy-AM"/>
        </w:rPr>
        <w:t>, եռամսյակային, տ/տ, %</w:t>
      </w:r>
    </w:p>
    <w:p w:rsidR="00163D29" w:rsidRPr="00E57C0E" w:rsidRDefault="00163D29" w:rsidP="00163D29">
      <w:pPr>
        <w:keepNext/>
        <w:keepLines/>
        <w:autoSpaceDE w:val="0"/>
        <w:autoSpaceDN w:val="0"/>
        <w:adjustRightInd w:val="0"/>
        <w:spacing w:after="240" w:line="360" w:lineRule="auto"/>
        <w:contextualSpacing/>
        <w:jc w:val="both"/>
        <w:rPr>
          <w:rFonts w:ascii="GHEA Grapalat" w:hAnsi="GHEA Grapalat" w:cs="Sylfaen"/>
          <w:sz w:val="22"/>
          <w:szCs w:val="22"/>
        </w:rPr>
      </w:pPr>
      <w:r w:rsidRPr="003E0B7E">
        <w:rPr>
          <w:rFonts w:ascii="GHEA Grapalat" w:hAnsi="GHEA Grapalat" w:cs="Sylfaen"/>
          <w:sz w:val="22"/>
          <w:szCs w:val="22"/>
          <w:lang w:val="hy-AM"/>
        </w:rPr>
        <w:t xml:space="preserve"> </w:t>
      </w:r>
      <w:r w:rsidRPr="00E57C0E">
        <w:rPr>
          <w:rFonts w:ascii="GHEA Grapalat" w:hAnsi="GHEA Grapalat" w:cs="Sylfaen"/>
          <w:noProof/>
          <w:sz w:val="22"/>
          <w:szCs w:val="22"/>
        </w:rPr>
        <w:drawing>
          <wp:inline distT="0" distB="0" distL="0" distR="0" wp14:anchorId="119D1538" wp14:editId="5243D30B">
            <wp:extent cx="6055995" cy="1936377"/>
            <wp:effectExtent l="0" t="0" r="1905" b="6985"/>
            <wp:docPr id="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A6193" w:rsidRPr="00E57C0E" w:rsidRDefault="004A6193" w:rsidP="00163D29">
      <w:pPr>
        <w:spacing w:after="240" w:line="360" w:lineRule="auto"/>
        <w:ind w:firstLine="562"/>
        <w:contextualSpacing/>
        <w:jc w:val="both"/>
        <w:rPr>
          <w:rFonts w:ascii="GHEA Grapalat" w:hAnsi="GHEA Grapalat"/>
          <w:sz w:val="22"/>
          <w:szCs w:val="22"/>
        </w:rPr>
      </w:pPr>
    </w:p>
    <w:p w:rsidR="00163D29" w:rsidRPr="00E57C0E" w:rsidRDefault="00163D29" w:rsidP="00163D29">
      <w:pPr>
        <w:spacing w:after="240" w:line="360" w:lineRule="auto"/>
        <w:ind w:firstLine="562"/>
        <w:contextualSpacing/>
        <w:jc w:val="both"/>
        <w:rPr>
          <w:rFonts w:ascii="GHEA Grapalat" w:hAnsi="GHEA Grapalat"/>
          <w:sz w:val="22"/>
          <w:szCs w:val="22"/>
        </w:rPr>
      </w:pPr>
      <w:r w:rsidRPr="00E57C0E">
        <w:rPr>
          <w:rFonts w:ascii="GHEA Grapalat" w:hAnsi="GHEA Grapalat"/>
          <w:sz w:val="22"/>
          <w:szCs w:val="22"/>
        </w:rPr>
        <w:t>Ռուս-ուկրաինական հակամարտության պայմաններում 2022</w:t>
      </w:r>
      <w:r w:rsidR="004A6193" w:rsidRPr="00E57C0E">
        <w:rPr>
          <w:rFonts w:ascii="GHEA Grapalat" w:hAnsi="GHEA Grapalat"/>
          <w:sz w:val="22"/>
          <w:szCs w:val="22"/>
        </w:rPr>
        <w:t xml:space="preserve"> </w:t>
      </w:r>
      <w:r w:rsidRPr="00E57C0E">
        <w:rPr>
          <w:rFonts w:ascii="GHEA Grapalat" w:hAnsi="GHEA Grapalat"/>
          <w:sz w:val="22"/>
          <w:szCs w:val="22"/>
        </w:rPr>
        <w:t>թ</w:t>
      </w:r>
      <w:r w:rsidR="004A6193" w:rsidRPr="00E57C0E">
        <w:rPr>
          <w:rFonts w:ascii="GHEA Grapalat" w:hAnsi="GHEA Grapalat"/>
          <w:sz w:val="22"/>
          <w:szCs w:val="22"/>
        </w:rPr>
        <w:t>վականի</w:t>
      </w:r>
      <w:r w:rsidRPr="00E57C0E">
        <w:rPr>
          <w:rFonts w:ascii="GHEA Grapalat" w:hAnsi="GHEA Grapalat"/>
          <w:sz w:val="22"/>
          <w:szCs w:val="22"/>
        </w:rPr>
        <w:t xml:space="preserve"> մարտ ամսից արագացող գնաճը զսպելու նպատակով գործընկեր երկրների կենտրոնական բանկերի կողմից իրականացվող շարունակական զսպող քաղաքականության արդյունքում տարեսկզբից շարունակվում է գնաճի տեմպերի դանդաղումը: Ընդ որում, ԱՄՆ-ում և ԵԳ-ում գնաճը շարունակում է բարձր մնալ սահմանված թիրախներից, իսկ ՌԴ-ում և Չինաստանում գտնվու</w:t>
      </w:r>
      <w:r w:rsidR="004A6193" w:rsidRPr="00E57C0E">
        <w:rPr>
          <w:rFonts w:ascii="GHEA Grapalat" w:hAnsi="GHEA Grapalat"/>
          <w:sz w:val="22"/>
          <w:szCs w:val="22"/>
        </w:rPr>
        <w:t>մ է թիրախային մակարդակից ներքև:</w:t>
      </w:r>
    </w:p>
    <w:p w:rsidR="004A6193" w:rsidRPr="00E57C0E" w:rsidRDefault="004A6193" w:rsidP="00163D29">
      <w:pPr>
        <w:spacing w:after="240" w:line="360" w:lineRule="auto"/>
        <w:ind w:firstLine="562"/>
        <w:contextualSpacing/>
        <w:jc w:val="both"/>
        <w:rPr>
          <w:rFonts w:ascii="GHEA Grapalat" w:hAnsi="GHEA Grapalat"/>
          <w:sz w:val="22"/>
          <w:szCs w:val="22"/>
        </w:rPr>
      </w:pPr>
    </w:p>
    <w:p w:rsidR="00163D29" w:rsidRPr="00E57C0E" w:rsidRDefault="00163D29" w:rsidP="00163D29">
      <w:pPr>
        <w:keepNext/>
        <w:keepLines/>
        <w:numPr>
          <w:ilvl w:val="0"/>
          <w:numId w:val="23"/>
        </w:numPr>
        <w:tabs>
          <w:tab w:val="left" w:pos="0"/>
          <w:tab w:val="left" w:pos="284"/>
          <w:tab w:val="left" w:pos="1276"/>
          <w:tab w:val="left" w:pos="1888"/>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Գնաճն ու դրամավարկային քաղաքականության արձագանքը գործընկեր երկրներում</w:t>
      </w:r>
      <w:r w:rsidRPr="00E57C0E">
        <w:rPr>
          <w:rFonts w:ascii="GHEA Grapalat" w:hAnsi="GHEA Grapalat" w:cs="Sylfaen"/>
          <w:sz w:val="22"/>
          <w:szCs w:val="22"/>
          <w:vertAlign w:val="superscript"/>
        </w:rPr>
        <w:footnoteReference w:id="7"/>
      </w:r>
    </w:p>
    <w:tbl>
      <w:tblPr>
        <w:tblW w:w="9804" w:type="dxa"/>
        <w:jc w:val="center"/>
        <w:tblLook w:val="04A0" w:firstRow="1" w:lastRow="0" w:firstColumn="1" w:lastColumn="0" w:noHBand="0" w:noVBand="1"/>
      </w:tblPr>
      <w:tblGrid>
        <w:gridCol w:w="9846"/>
      </w:tblGrid>
      <w:tr w:rsidR="00163D29" w:rsidRPr="00E57C0E" w:rsidTr="00AA791E">
        <w:trPr>
          <w:trHeight w:val="3782"/>
          <w:jc w:val="center"/>
        </w:trPr>
        <w:tc>
          <w:tcPr>
            <w:tcW w:w="9804" w:type="dxa"/>
            <w:shd w:val="clear" w:color="auto" w:fill="auto"/>
          </w:tcPr>
          <w:p w:rsidR="00163D29" w:rsidRPr="00E57C0E" w:rsidRDefault="00887D23" w:rsidP="00AA791E">
            <w:pPr>
              <w:jc w:val="both"/>
              <w:rPr>
                <w:rFonts w:ascii="GHEA Grapalat" w:hAnsi="GHEA Grapalat"/>
                <w:b/>
                <w:sz w:val="22"/>
              </w:rPr>
            </w:pPr>
            <w:r w:rsidRPr="00E57C0E">
              <w:rPr>
                <w:rFonts w:ascii="GHEA Grapalat" w:hAnsi="GHEA Grapalat"/>
                <w:b/>
                <w:noProof/>
                <w:sz w:val="22"/>
              </w:rPr>
              <w:drawing>
                <wp:inline distT="0" distB="0" distL="0" distR="0" wp14:anchorId="0F0434B3" wp14:editId="2F66797D">
                  <wp:extent cx="3067291" cy="2082800"/>
                  <wp:effectExtent l="0" t="0" r="0" b="12700"/>
                  <wp:docPr id="4"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163D29" w:rsidRPr="00E57C0E">
              <w:rPr>
                <w:rFonts w:ascii="GHEA Grapalat" w:hAnsi="GHEA Grapalat"/>
                <w:b/>
                <w:noProof/>
                <w:sz w:val="22"/>
              </w:rPr>
              <w:drawing>
                <wp:inline distT="0" distB="0" distL="0" distR="0" wp14:anchorId="094F8EAC" wp14:editId="4C21234B">
                  <wp:extent cx="2992755" cy="2084400"/>
                  <wp:effectExtent l="0" t="0" r="17145" b="11430"/>
                  <wp:docPr id="5"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163D29" w:rsidRPr="00E57C0E">
              <w:rPr>
                <w:rFonts w:ascii="GHEA Grapalat" w:hAnsi="GHEA Grapalat"/>
                <w:b/>
                <w:noProof/>
                <w:sz w:val="22"/>
              </w:rPr>
              <w:drawing>
                <wp:inline distT="0" distB="0" distL="0" distR="0" wp14:anchorId="2E53C0AD" wp14:editId="5E136AD0">
                  <wp:extent cx="6099810" cy="219911"/>
                  <wp:effectExtent l="0" t="0" r="15240" b="8890"/>
                  <wp:docPr id="9"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3D29" w:rsidRPr="00E57C0E" w:rsidRDefault="00163D29" w:rsidP="00AA791E">
            <w:pPr>
              <w:jc w:val="both"/>
              <w:rPr>
                <w:rFonts w:ascii="GHEA Grapalat" w:hAnsi="GHEA Grapalat"/>
                <w:i/>
                <w:sz w:val="18"/>
                <w:szCs w:val="22"/>
              </w:rPr>
            </w:pPr>
            <w:r w:rsidRPr="00E57C0E">
              <w:rPr>
                <w:rFonts w:ascii="GHEA Grapalat" w:hAnsi="GHEA Grapalat"/>
                <w:i/>
                <w:sz w:val="18"/>
                <w:szCs w:val="22"/>
              </w:rPr>
              <w:t>Աղբյուրը՝ ԱՄՆ ԴՊՀ, ԵԿԲ, Չինաստանի ժողովրդական բանկ, ՌԴ ԿԲ</w:t>
            </w:r>
          </w:p>
        </w:tc>
      </w:tr>
    </w:tbl>
    <w:p w:rsidR="00163D29" w:rsidRPr="00E57C0E" w:rsidRDefault="00163D29" w:rsidP="00163D29">
      <w:pPr>
        <w:spacing w:line="360" w:lineRule="auto"/>
        <w:ind w:firstLine="567"/>
        <w:jc w:val="both"/>
        <w:rPr>
          <w:rFonts w:ascii="GHEA Grapalat" w:hAnsi="GHEA Grapalat"/>
          <w:b/>
          <w:i/>
          <w:iCs/>
          <w:sz w:val="22"/>
        </w:rPr>
      </w:pPr>
    </w:p>
    <w:p w:rsidR="00163D29" w:rsidRPr="00E57C0E" w:rsidRDefault="00163D29" w:rsidP="000C5A96">
      <w:pPr>
        <w:spacing w:after="240" w:line="360" w:lineRule="auto"/>
        <w:ind w:firstLine="562"/>
        <w:contextualSpacing/>
        <w:jc w:val="both"/>
        <w:rPr>
          <w:rFonts w:ascii="GHEA Grapalat" w:hAnsi="GHEA Grapalat"/>
          <w:sz w:val="22"/>
          <w:szCs w:val="22"/>
        </w:rPr>
      </w:pPr>
      <w:r w:rsidRPr="00E57C0E">
        <w:rPr>
          <w:rFonts w:ascii="GHEA Grapalat" w:hAnsi="GHEA Grapalat"/>
          <w:b/>
          <w:i/>
          <w:iCs/>
          <w:sz w:val="22"/>
        </w:rPr>
        <w:lastRenderedPageBreak/>
        <w:t>Միջազգային գներ</w:t>
      </w:r>
      <w:r w:rsidRPr="00E57C0E">
        <w:rPr>
          <w:rFonts w:ascii="GHEA Grapalat" w:hAnsi="GHEA Grapalat"/>
          <w:b/>
          <w:i/>
          <w:iCs/>
          <w:sz w:val="22"/>
          <w:vertAlign w:val="superscript"/>
        </w:rPr>
        <w:footnoteReference w:id="8"/>
      </w:r>
      <w:r w:rsidRPr="00E57C0E">
        <w:rPr>
          <w:rFonts w:ascii="GHEA Grapalat" w:hAnsi="GHEA Grapalat"/>
          <w:b/>
          <w:sz w:val="22"/>
        </w:rPr>
        <w:t>:</w:t>
      </w:r>
      <w:r w:rsidRPr="00E57C0E">
        <w:rPr>
          <w:rFonts w:ascii="GHEA Grapalat" w:hAnsi="GHEA Grapalat"/>
          <w:sz w:val="22"/>
        </w:rPr>
        <w:t xml:space="preserve"> </w:t>
      </w:r>
      <w:r w:rsidRPr="00E57C0E">
        <w:rPr>
          <w:rFonts w:ascii="GHEA Grapalat" w:hAnsi="GHEA Grapalat"/>
          <w:sz w:val="22"/>
          <w:szCs w:val="22"/>
        </w:rPr>
        <w:t>2023</w:t>
      </w:r>
      <w:r w:rsidR="000C5A96" w:rsidRPr="00E57C0E">
        <w:rPr>
          <w:rFonts w:ascii="GHEA Grapalat" w:hAnsi="GHEA Grapalat"/>
          <w:sz w:val="22"/>
          <w:szCs w:val="22"/>
        </w:rPr>
        <w:t xml:space="preserve"> </w:t>
      </w:r>
      <w:r w:rsidRPr="00E57C0E">
        <w:rPr>
          <w:rFonts w:ascii="GHEA Grapalat" w:hAnsi="GHEA Grapalat"/>
          <w:sz w:val="22"/>
          <w:szCs w:val="22"/>
        </w:rPr>
        <w:t>թ</w:t>
      </w:r>
      <w:r w:rsidR="000C5A96" w:rsidRPr="00E57C0E">
        <w:rPr>
          <w:rFonts w:ascii="GHEA Grapalat" w:hAnsi="GHEA Grapalat"/>
          <w:sz w:val="22"/>
          <w:szCs w:val="22"/>
        </w:rPr>
        <w:t>վականի</w:t>
      </w:r>
      <w:r w:rsidRPr="00E57C0E">
        <w:rPr>
          <w:rFonts w:ascii="GHEA Grapalat" w:hAnsi="GHEA Grapalat"/>
          <w:sz w:val="22"/>
          <w:szCs w:val="22"/>
        </w:rPr>
        <w:t xml:space="preserve"> առաջին կիսամյակում հումքային և պարենային ապրանքների շուկայում գնաճային ճնշումները թուլացել են՝ պայմանավորված համաշխարհային մատակարարման շղթաների վերականգնմամբ, կենտրոնական բանկերի կողմից վարվող խստացող դրամավարկային քաղաքականությամբ: Նավթի միջազգային գները 2023</w:t>
      </w:r>
      <w:r w:rsidR="0014126A" w:rsidRPr="00E57C0E">
        <w:rPr>
          <w:rFonts w:ascii="GHEA Grapalat" w:hAnsi="GHEA Grapalat"/>
          <w:sz w:val="22"/>
          <w:szCs w:val="22"/>
        </w:rPr>
        <w:t xml:space="preserve"> </w:t>
      </w:r>
      <w:r w:rsidRPr="00E57C0E">
        <w:rPr>
          <w:rFonts w:ascii="GHEA Grapalat" w:hAnsi="GHEA Grapalat"/>
          <w:sz w:val="22"/>
          <w:szCs w:val="22"/>
        </w:rPr>
        <w:t>թ</w:t>
      </w:r>
      <w:r w:rsidR="0014126A" w:rsidRPr="00E57C0E">
        <w:rPr>
          <w:rFonts w:ascii="GHEA Grapalat" w:hAnsi="GHEA Grapalat"/>
          <w:sz w:val="22"/>
          <w:szCs w:val="22"/>
        </w:rPr>
        <w:t>վականի</w:t>
      </w:r>
      <w:r w:rsidRPr="00E57C0E">
        <w:rPr>
          <w:rFonts w:ascii="GHEA Grapalat" w:hAnsi="GHEA Grapalat"/>
          <w:sz w:val="22"/>
          <w:szCs w:val="22"/>
        </w:rPr>
        <w:t xml:space="preserve"> առաջին կիսամյակում նախորդ տարվա համապատասխան ժամանակահատվածի նկատմամբ նվազել են միջինում 24.6%-ով՝ 2023</w:t>
      </w:r>
      <w:r w:rsidR="0014126A" w:rsidRPr="00E57C0E">
        <w:rPr>
          <w:rFonts w:ascii="GHEA Grapalat" w:hAnsi="GHEA Grapalat"/>
          <w:sz w:val="22"/>
          <w:szCs w:val="22"/>
        </w:rPr>
        <w:t xml:space="preserve"> թվականի</w:t>
      </w:r>
      <w:r w:rsidRPr="00E57C0E">
        <w:rPr>
          <w:rFonts w:ascii="GHEA Grapalat" w:hAnsi="GHEA Grapalat"/>
          <w:sz w:val="22"/>
          <w:szCs w:val="22"/>
        </w:rPr>
        <w:t xml:space="preserve"> հունիսին կազմելով 74.8 ԱՄՆ դոլար մեկ բարելի դիմաց: </w:t>
      </w:r>
    </w:p>
    <w:p w:rsidR="00163D29" w:rsidRPr="00E57C0E" w:rsidRDefault="00163D29" w:rsidP="000C5A96">
      <w:pPr>
        <w:spacing w:after="240" w:line="360" w:lineRule="auto"/>
        <w:ind w:firstLine="562"/>
        <w:contextualSpacing/>
        <w:jc w:val="both"/>
        <w:rPr>
          <w:rFonts w:ascii="GHEA Grapalat" w:hAnsi="GHEA Grapalat"/>
          <w:sz w:val="22"/>
          <w:szCs w:val="22"/>
        </w:rPr>
      </w:pPr>
      <w:r w:rsidRPr="00E57C0E">
        <w:rPr>
          <w:rFonts w:ascii="GHEA Grapalat" w:hAnsi="GHEA Grapalat"/>
          <w:sz w:val="22"/>
          <w:szCs w:val="22"/>
        </w:rPr>
        <w:t>Պղնձի միջազգային գները նույնպես շարունակել են նվազել՝ կիսամյակի սկզբի համեմատ ավելի արագ տեմպերով. 2023</w:t>
      </w:r>
      <w:r w:rsidR="00F97DBC" w:rsidRPr="00E57C0E">
        <w:rPr>
          <w:rFonts w:ascii="GHEA Grapalat" w:hAnsi="GHEA Grapalat"/>
          <w:sz w:val="22"/>
          <w:szCs w:val="22"/>
        </w:rPr>
        <w:t xml:space="preserve"> </w:t>
      </w:r>
      <w:r w:rsidRPr="00E57C0E">
        <w:rPr>
          <w:rFonts w:ascii="GHEA Grapalat" w:hAnsi="GHEA Grapalat"/>
          <w:sz w:val="22"/>
          <w:szCs w:val="22"/>
        </w:rPr>
        <w:t>թ</w:t>
      </w:r>
      <w:r w:rsidR="00F97DBC" w:rsidRPr="00E57C0E">
        <w:rPr>
          <w:rFonts w:ascii="GHEA Grapalat" w:hAnsi="GHEA Grapalat"/>
          <w:sz w:val="22"/>
          <w:szCs w:val="22"/>
        </w:rPr>
        <w:t>վականի</w:t>
      </w:r>
      <w:r w:rsidRPr="00E57C0E">
        <w:rPr>
          <w:rFonts w:ascii="GHEA Grapalat" w:hAnsi="GHEA Grapalat"/>
          <w:sz w:val="22"/>
          <w:szCs w:val="22"/>
        </w:rPr>
        <w:t xml:space="preserve"> առաջին կիսամյակում պղնձի միջազգային գները նվազել են 10.7%-ով՝ հունիս ամսին կազմելով 8,396.5 ԱՄՆ դոլար մեկ տոննայի համար: Մոլիբդենի միջազգային գները փետրվարի կտրուկ աճից հետո նվազել են՝ մարտ ամսին կազմելով 53,149 ԱՄՆ դոլար մեկ տոննայի համար, սակայն 2023</w:t>
      </w:r>
      <w:r w:rsidR="00F97DBC" w:rsidRPr="00E57C0E">
        <w:rPr>
          <w:rFonts w:ascii="GHEA Grapalat" w:hAnsi="GHEA Grapalat"/>
          <w:sz w:val="22"/>
          <w:szCs w:val="22"/>
        </w:rPr>
        <w:t xml:space="preserve"> </w:t>
      </w:r>
      <w:r w:rsidRPr="00E57C0E">
        <w:rPr>
          <w:rFonts w:ascii="GHEA Grapalat" w:hAnsi="GHEA Grapalat"/>
          <w:sz w:val="22"/>
          <w:szCs w:val="22"/>
        </w:rPr>
        <w:t>թ</w:t>
      </w:r>
      <w:r w:rsidR="00F97DBC" w:rsidRPr="00E57C0E">
        <w:rPr>
          <w:rFonts w:ascii="GHEA Grapalat" w:hAnsi="GHEA Grapalat"/>
          <w:sz w:val="22"/>
          <w:szCs w:val="22"/>
        </w:rPr>
        <w:t>վականի</w:t>
      </w:r>
      <w:r w:rsidRPr="00E57C0E">
        <w:rPr>
          <w:rFonts w:ascii="GHEA Grapalat" w:hAnsi="GHEA Grapalat"/>
          <w:sz w:val="22"/>
          <w:szCs w:val="22"/>
        </w:rPr>
        <w:t xml:space="preserve"> </w:t>
      </w:r>
      <w:r w:rsidRPr="00E57C0E">
        <w:rPr>
          <w:rFonts w:ascii="GHEA Grapalat" w:hAnsi="GHEA Grapalat" w:cs="GHEA Grapalat"/>
          <w:sz w:val="22"/>
          <w:szCs w:val="22"/>
        </w:rPr>
        <w:t>հունվար</w:t>
      </w:r>
      <w:r w:rsidRPr="00E57C0E">
        <w:rPr>
          <w:rFonts w:ascii="GHEA Grapalat" w:hAnsi="GHEA Grapalat"/>
          <w:sz w:val="22"/>
          <w:szCs w:val="22"/>
        </w:rPr>
        <w:t>-</w:t>
      </w:r>
      <w:r w:rsidRPr="00E57C0E">
        <w:rPr>
          <w:rFonts w:ascii="GHEA Grapalat" w:hAnsi="GHEA Grapalat" w:cs="GHEA Grapalat"/>
          <w:sz w:val="22"/>
          <w:szCs w:val="22"/>
        </w:rPr>
        <w:t>հունիսին</w:t>
      </w:r>
      <w:r w:rsidRPr="00E57C0E">
        <w:rPr>
          <w:rFonts w:ascii="GHEA Grapalat" w:hAnsi="GHEA Grapalat"/>
          <w:sz w:val="22"/>
          <w:szCs w:val="22"/>
        </w:rPr>
        <w:t xml:space="preserve"> </w:t>
      </w:r>
      <w:r w:rsidRPr="00E57C0E">
        <w:rPr>
          <w:rFonts w:ascii="GHEA Grapalat" w:hAnsi="GHEA Grapalat" w:cs="GHEA Grapalat"/>
          <w:sz w:val="22"/>
          <w:szCs w:val="22"/>
        </w:rPr>
        <w:t>նախորդ</w:t>
      </w:r>
      <w:r w:rsidRPr="00E57C0E">
        <w:rPr>
          <w:rFonts w:ascii="GHEA Grapalat" w:hAnsi="GHEA Grapalat"/>
          <w:sz w:val="22"/>
          <w:szCs w:val="22"/>
        </w:rPr>
        <w:t xml:space="preserve"> </w:t>
      </w:r>
      <w:r w:rsidRPr="00E57C0E">
        <w:rPr>
          <w:rFonts w:ascii="GHEA Grapalat" w:hAnsi="GHEA Grapalat" w:cs="GHEA Grapalat"/>
          <w:sz w:val="22"/>
          <w:szCs w:val="22"/>
        </w:rPr>
        <w:t>տարվա</w:t>
      </w:r>
      <w:r w:rsidRPr="00E57C0E">
        <w:rPr>
          <w:rFonts w:ascii="GHEA Grapalat" w:hAnsi="GHEA Grapalat"/>
          <w:sz w:val="22"/>
          <w:szCs w:val="22"/>
        </w:rPr>
        <w:t xml:space="preserve"> </w:t>
      </w:r>
      <w:r w:rsidRPr="00E57C0E">
        <w:rPr>
          <w:rFonts w:ascii="GHEA Grapalat" w:hAnsi="GHEA Grapalat" w:cs="GHEA Grapalat"/>
          <w:sz w:val="22"/>
          <w:szCs w:val="22"/>
        </w:rPr>
        <w:t>նույն</w:t>
      </w:r>
      <w:r w:rsidRPr="00E57C0E">
        <w:rPr>
          <w:rFonts w:ascii="GHEA Grapalat" w:hAnsi="GHEA Grapalat"/>
          <w:sz w:val="22"/>
          <w:szCs w:val="22"/>
        </w:rPr>
        <w:t xml:space="preserve"> </w:t>
      </w:r>
      <w:r w:rsidRPr="00E57C0E">
        <w:rPr>
          <w:rFonts w:ascii="GHEA Grapalat" w:hAnsi="GHEA Grapalat" w:cs="GHEA Grapalat"/>
          <w:sz w:val="22"/>
          <w:szCs w:val="22"/>
        </w:rPr>
        <w:t>ժամանակահատվածի</w:t>
      </w:r>
      <w:r w:rsidRPr="00E57C0E">
        <w:rPr>
          <w:rFonts w:ascii="GHEA Grapalat" w:hAnsi="GHEA Grapalat"/>
          <w:sz w:val="22"/>
          <w:szCs w:val="22"/>
        </w:rPr>
        <w:t xml:space="preserve"> </w:t>
      </w:r>
      <w:r w:rsidRPr="00E57C0E">
        <w:rPr>
          <w:rFonts w:ascii="GHEA Grapalat" w:hAnsi="GHEA Grapalat" w:cs="GHEA Grapalat"/>
          <w:sz w:val="22"/>
          <w:szCs w:val="22"/>
        </w:rPr>
        <w:t>համեմատ</w:t>
      </w:r>
      <w:r w:rsidRPr="00E57C0E">
        <w:rPr>
          <w:rFonts w:ascii="GHEA Grapalat" w:hAnsi="GHEA Grapalat"/>
          <w:sz w:val="22"/>
          <w:szCs w:val="22"/>
        </w:rPr>
        <w:t xml:space="preserve"> </w:t>
      </w:r>
      <w:r w:rsidRPr="00E57C0E">
        <w:rPr>
          <w:rFonts w:ascii="GHEA Grapalat" w:hAnsi="GHEA Grapalat" w:cs="GHEA Grapalat"/>
          <w:sz w:val="22"/>
          <w:szCs w:val="22"/>
        </w:rPr>
        <w:t>եղել</w:t>
      </w:r>
      <w:r w:rsidRPr="00E57C0E">
        <w:rPr>
          <w:rFonts w:ascii="GHEA Grapalat" w:hAnsi="GHEA Grapalat"/>
          <w:sz w:val="22"/>
          <w:szCs w:val="22"/>
        </w:rPr>
        <w:t xml:space="preserve"> </w:t>
      </w:r>
      <w:r w:rsidRPr="00E57C0E">
        <w:rPr>
          <w:rFonts w:ascii="GHEA Grapalat" w:hAnsi="GHEA Grapalat" w:cs="GHEA Grapalat"/>
          <w:sz w:val="22"/>
          <w:szCs w:val="22"/>
        </w:rPr>
        <w:t>են</w:t>
      </w:r>
      <w:r w:rsidRPr="00E57C0E">
        <w:rPr>
          <w:rFonts w:ascii="GHEA Grapalat" w:hAnsi="GHEA Grapalat"/>
          <w:sz w:val="22"/>
          <w:szCs w:val="22"/>
        </w:rPr>
        <w:t xml:space="preserve"> 45.7%-</w:t>
      </w:r>
      <w:r w:rsidRPr="00E57C0E">
        <w:rPr>
          <w:rFonts w:ascii="GHEA Grapalat" w:hAnsi="GHEA Grapalat" w:cs="GHEA Grapalat"/>
          <w:sz w:val="22"/>
          <w:szCs w:val="22"/>
        </w:rPr>
        <w:t>ով</w:t>
      </w:r>
      <w:r w:rsidRPr="00E57C0E">
        <w:rPr>
          <w:rFonts w:ascii="GHEA Grapalat" w:hAnsi="GHEA Grapalat"/>
          <w:sz w:val="22"/>
          <w:szCs w:val="22"/>
        </w:rPr>
        <w:t xml:space="preserve"> </w:t>
      </w:r>
      <w:r w:rsidRPr="00E57C0E">
        <w:rPr>
          <w:rFonts w:ascii="GHEA Grapalat" w:hAnsi="GHEA Grapalat" w:cs="GHEA Grapalat"/>
          <w:sz w:val="22"/>
          <w:szCs w:val="22"/>
        </w:rPr>
        <w:t>բարձր</w:t>
      </w:r>
      <w:r w:rsidRPr="00E57C0E">
        <w:rPr>
          <w:rFonts w:ascii="GHEA Grapalat" w:hAnsi="GHEA Grapalat"/>
          <w:sz w:val="22"/>
          <w:szCs w:val="22"/>
        </w:rPr>
        <w:t xml:space="preserve"> </w:t>
      </w:r>
      <w:r w:rsidRPr="00E57C0E">
        <w:rPr>
          <w:rFonts w:ascii="GHEA Grapalat" w:hAnsi="GHEA Grapalat" w:cs="GHEA Grapalat"/>
          <w:sz w:val="22"/>
          <w:szCs w:val="22"/>
        </w:rPr>
        <w:t>մակարդակում</w:t>
      </w:r>
      <w:r w:rsidRPr="00E57C0E">
        <w:rPr>
          <w:rFonts w:ascii="GHEA Grapalat" w:hAnsi="GHEA Grapalat"/>
          <w:sz w:val="22"/>
          <w:szCs w:val="22"/>
        </w:rPr>
        <w:t>:</w:t>
      </w:r>
    </w:p>
    <w:p w:rsidR="00163D29" w:rsidRPr="00E57C0E" w:rsidRDefault="00163D29" w:rsidP="000C5A96">
      <w:pPr>
        <w:spacing w:after="240" w:line="360" w:lineRule="auto"/>
        <w:ind w:firstLine="562"/>
        <w:contextualSpacing/>
        <w:jc w:val="both"/>
        <w:rPr>
          <w:rFonts w:ascii="GHEA Grapalat" w:hAnsi="GHEA Grapalat"/>
          <w:sz w:val="22"/>
          <w:szCs w:val="22"/>
        </w:rPr>
      </w:pPr>
      <w:r w:rsidRPr="00E57C0E">
        <w:rPr>
          <w:rFonts w:ascii="GHEA Grapalat" w:hAnsi="GHEA Grapalat"/>
          <w:sz w:val="22"/>
          <w:szCs w:val="22"/>
        </w:rPr>
        <w:t>Պարենի միջազգային գները</w:t>
      </w:r>
      <w:r w:rsidRPr="00E57C0E">
        <w:rPr>
          <w:rFonts w:ascii="GHEA Grapalat" w:hAnsi="GHEA Grapalat"/>
          <w:sz w:val="22"/>
          <w:szCs w:val="22"/>
          <w:vertAlign w:val="superscript"/>
        </w:rPr>
        <w:footnoteReference w:id="9"/>
      </w:r>
      <w:r w:rsidRPr="00E57C0E">
        <w:rPr>
          <w:rFonts w:ascii="GHEA Grapalat" w:hAnsi="GHEA Grapalat"/>
          <w:sz w:val="22"/>
          <w:szCs w:val="22"/>
        </w:rPr>
        <w:t xml:space="preserve"> 2023</w:t>
      </w:r>
      <w:r w:rsidR="007A30F7" w:rsidRPr="00E57C0E">
        <w:rPr>
          <w:rFonts w:ascii="GHEA Grapalat" w:hAnsi="GHEA Grapalat"/>
          <w:sz w:val="22"/>
          <w:szCs w:val="22"/>
        </w:rPr>
        <w:t xml:space="preserve"> </w:t>
      </w:r>
      <w:r w:rsidRPr="00E57C0E">
        <w:rPr>
          <w:rFonts w:ascii="GHEA Grapalat" w:hAnsi="GHEA Grapalat"/>
          <w:sz w:val="22"/>
          <w:szCs w:val="22"/>
        </w:rPr>
        <w:t>թ</w:t>
      </w:r>
      <w:r w:rsidR="007A30F7" w:rsidRPr="00E57C0E">
        <w:rPr>
          <w:rFonts w:ascii="GHEA Grapalat" w:hAnsi="GHEA Grapalat"/>
          <w:sz w:val="22"/>
          <w:szCs w:val="22"/>
        </w:rPr>
        <w:t>վականի</w:t>
      </w:r>
      <w:r w:rsidRPr="00E57C0E">
        <w:rPr>
          <w:rFonts w:ascii="GHEA Grapalat" w:hAnsi="GHEA Grapalat"/>
          <w:sz w:val="22"/>
          <w:szCs w:val="22"/>
        </w:rPr>
        <w:t xml:space="preserve"> առաջին կիսամյակում շարունակաբար նվազել են</w:t>
      </w:r>
      <w:r w:rsidR="007A30F7" w:rsidRPr="00E57C0E">
        <w:rPr>
          <w:rFonts w:ascii="GHEA Grapalat" w:hAnsi="GHEA Grapalat"/>
          <w:sz w:val="22"/>
          <w:szCs w:val="22"/>
        </w:rPr>
        <w:t>՝</w:t>
      </w:r>
      <w:r w:rsidRPr="00E57C0E">
        <w:rPr>
          <w:rFonts w:ascii="GHEA Grapalat" w:hAnsi="GHEA Grapalat"/>
          <w:sz w:val="22"/>
          <w:szCs w:val="22"/>
        </w:rPr>
        <w:t xml:space="preserve"> պայմանավորված որոշ ապրանքների (կաթնամթերք, հացահատիկ, բուսական յուղեր) միջազգային գների նվազմամբ, ինչպես նաև դրամավարկային քաղաքականության բարձր տոկոսադրույքներով:</w:t>
      </w:r>
    </w:p>
    <w:p w:rsidR="00FC3545" w:rsidRPr="00E57C0E" w:rsidRDefault="00FC3545" w:rsidP="000C5A96">
      <w:pPr>
        <w:spacing w:after="240" w:line="360" w:lineRule="auto"/>
        <w:ind w:firstLine="562"/>
        <w:contextualSpacing/>
        <w:jc w:val="both"/>
        <w:rPr>
          <w:rFonts w:ascii="GHEA Grapalat" w:hAnsi="GHEA Grapalat"/>
          <w:sz w:val="22"/>
          <w:szCs w:val="22"/>
        </w:rPr>
      </w:pPr>
    </w:p>
    <w:p w:rsidR="00163D29" w:rsidRPr="00E57C0E" w:rsidRDefault="00163D29" w:rsidP="007A30F7">
      <w:pPr>
        <w:keepNext/>
        <w:keepLines/>
        <w:numPr>
          <w:ilvl w:val="0"/>
          <w:numId w:val="23"/>
        </w:numPr>
        <w:tabs>
          <w:tab w:val="left" w:pos="0"/>
          <w:tab w:val="left" w:pos="284"/>
          <w:tab w:val="left" w:pos="1276"/>
          <w:tab w:val="left" w:pos="1888"/>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Նավթի, մետաղների և պարենի գների զարգացումներ</w:t>
      </w:r>
    </w:p>
    <w:p w:rsidR="00163D29" w:rsidRPr="00E57C0E" w:rsidRDefault="00163D29" w:rsidP="00163D29">
      <w:pPr>
        <w:keepNext/>
        <w:keepLines/>
        <w:tabs>
          <w:tab w:val="left" w:pos="284"/>
          <w:tab w:val="left" w:pos="1560"/>
        </w:tabs>
        <w:autoSpaceDE w:val="0"/>
        <w:autoSpaceDN w:val="0"/>
        <w:adjustRightInd w:val="0"/>
        <w:spacing w:after="120" w:line="276" w:lineRule="auto"/>
        <w:jc w:val="both"/>
        <w:rPr>
          <w:rFonts w:ascii="GHEA Grapalat" w:hAnsi="GHEA Grapalat" w:cs="Sylfaen"/>
          <w:sz w:val="22"/>
          <w:szCs w:val="22"/>
        </w:rPr>
      </w:pPr>
      <w:r w:rsidRPr="00E57C0E">
        <w:rPr>
          <w:rFonts w:ascii="GHEA Grapalat" w:hAnsi="GHEA Grapalat" w:cs="Sylfaen"/>
          <w:noProof/>
          <w:sz w:val="22"/>
          <w:szCs w:val="22"/>
        </w:rPr>
        <w:drawing>
          <wp:inline distT="0" distB="0" distL="0" distR="0" wp14:anchorId="29F58FB8" wp14:editId="4C975DBC">
            <wp:extent cx="3023870" cy="2789499"/>
            <wp:effectExtent l="0" t="0" r="5080" b="11430"/>
            <wp:docPr id="15"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E57C0E">
        <w:rPr>
          <w:rFonts w:ascii="GHEA Grapalat" w:hAnsi="GHEA Grapalat" w:cs="Sylfaen"/>
          <w:sz w:val="22"/>
          <w:szCs w:val="22"/>
        </w:rPr>
        <w:t xml:space="preserve"> </w:t>
      </w:r>
      <w:r w:rsidRPr="00E57C0E">
        <w:rPr>
          <w:rFonts w:ascii="GHEA Grapalat" w:eastAsia="GHEA Grapalat" w:hAnsi="GHEA Grapalat" w:cs="GHEA Grapalat"/>
          <w:noProof/>
          <w:sz w:val="20"/>
          <w:szCs w:val="20"/>
        </w:rPr>
        <w:drawing>
          <wp:inline distT="0" distB="0" distL="0" distR="0" wp14:anchorId="65F3D19B" wp14:editId="55BD1F1E">
            <wp:extent cx="3023870" cy="2797617"/>
            <wp:effectExtent l="0" t="0" r="5080" b="3175"/>
            <wp:docPr id="16"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Look w:val="04A0" w:firstRow="1" w:lastRow="0" w:firstColumn="1" w:lastColumn="0" w:noHBand="0" w:noVBand="1"/>
      </w:tblPr>
      <w:tblGrid>
        <w:gridCol w:w="4650"/>
        <w:gridCol w:w="4825"/>
      </w:tblGrid>
      <w:tr w:rsidR="00163D29" w:rsidRPr="00E57C0E" w:rsidTr="00AA791E">
        <w:trPr>
          <w:trHeight w:val="113"/>
          <w:jc w:val="center"/>
        </w:trPr>
        <w:tc>
          <w:tcPr>
            <w:tcW w:w="4650" w:type="dxa"/>
            <w:shd w:val="clear" w:color="auto" w:fill="auto"/>
          </w:tcPr>
          <w:p w:rsidR="00163D29" w:rsidRPr="00E57C0E" w:rsidRDefault="00163D29" w:rsidP="00AA791E">
            <w:pPr>
              <w:rPr>
                <w:rFonts w:ascii="GHEA Grapalat" w:eastAsia="Calibri" w:hAnsi="GHEA Grapalat"/>
                <w:i/>
                <w:sz w:val="20"/>
                <w:szCs w:val="20"/>
              </w:rPr>
            </w:pPr>
            <w:r w:rsidRPr="00E57C0E">
              <w:rPr>
                <w:rFonts w:ascii="GHEA Grapalat" w:eastAsia="Calibri" w:hAnsi="GHEA Grapalat"/>
                <w:i/>
                <w:sz w:val="20"/>
                <w:szCs w:val="20"/>
              </w:rPr>
              <w:t>Աղբյուրը՝ Համաշխարհային բանկ</w:t>
            </w:r>
          </w:p>
          <w:p w:rsidR="00163D29" w:rsidRPr="00E57C0E" w:rsidRDefault="00163D29" w:rsidP="00AA791E">
            <w:pPr>
              <w:rPr>
                <w:rFonts w:ascii="GHEA Grapalat" w:eastAsia="Calibri" w:hAnsi="GHEA Grapalat"/>
                <w:i/>
                <w:sz w:val="20"/>
                <w:szCs w:val="20"/>
              </w:rPr>
            </w:pPr>
          </w:p>
        </w:tc>
        <w:tc>
          <w:tcPr>
            <w:tcW w:w="4825" w:type="dxa"/>
            <w:shd w:val="clear" w:color="auto" w:fill="auto"/>
          </w:tcPr>
          <w:p w:rsidR="00163D29" w:rsidRPr="00E57C0E" w:rsidRDefault="00163D29" w:rsidP="00AA791E">
            <w:pPr>
              <w:rPr>
                <w:rFonts w:ascii="GHEA Grapalat" w:eastAsia="GHEA Grapalat" w:hAnsi="GHEA Grapalat" w:cs="GHEA Grapalat"/>
                <w:i/>
                <w:sz w:val="20"/>
                <w:szCs w:val="20"/>
              </w:rPr>
            </w:pPr>
            <w:r w:rsidRPr="00E57C0E">
              <w:rPr>
                <w:rFonts w:ascii="GHEA Grapalat" w:eastAsia="GHEA Grapalat" w:hAnsi="GHEA Grapalat" w:cs="GHEA Grapalat"/>
                <w:i/>
                <w:sz w:val="20"/>
                <w:szCs w:val="20"/>
              </w:rPr>
              <w:t>Աղբյուրը՝ ՄԱԿ–ի պարենի և գյուղատնտեսության կազմակերպություն</w:t>
            </w:r>
          </w:p>
        </w:tc>
      </w:tr>
    </w:tbl>
    <w:p w:rsidR="00563135" w:rsidRPr="00E57C0E"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8" w:name="_Toc165293252"/>
      <w:r w:rsidRPr="00E57C0E">
        <w:rPr>
          <w:rFonts w:ascii="GHEA Grapalat" w:hAnsi="GHEA Grapalat"/>
          <w:bCs/>
          <w:i w:val="0"/>
          <w:noProof/>
          <w:sz w:val="22"/>
          <w:szCs w:val="22"/>
          <w:lang w:val="de-AT"/>
        </w:rPr>
        <w:lastRenderedPageBreak/>
        <w:t>ՀՀ մակրոտնտեսական զարգացումներ</w:t>
      </w:r>
      <w:bookmarkEnd w:id="16"/>
      <w:bookmarkEnd w:id="17"/>
      <w:bookmarkEnd w:id="18"/>
    </w:p>
    <w:p w:rsidR="00563135" w:rsidRPr="00E57C0E" w:rsidRDefault="00563135" w:rsidP="00563135">
      <w:pPr>
        <w:pStyle w:val="Heading6"/>
        <w:ind w:left="567"/>
        <w:rPr>
          <w:rFonts w:ascii="GHEA Grapalat" w:hAnsi="GHEA Grapalat"/>
          <w:b/>
          <w:sz w:val="22"/>
          <w:szCs w:val="22"/>
          <w:u w:val="none"/>
        </w:rPr>
      </w:pPr>
      <w:bookmarkStart w:id="19" w:name="_Toc71311882"/>
      <w:r w:rsidRPr="00E57C0E">
        <w:rPr>
          <w:rFonts w:ascii="GHEA Grapalat" w:hAnsi="GHEA Grapalat"/>
          <w:b/>
          <w:sz w:val="22"/>
          <w:szCs w:val="22"/>
          <w:u w:val="none"/>
        </w:rPr>
        <w:t>Համախառն առաջարկ և պահանջարկ</w:t>
      </w:r>
      <w:bookmarkEnd w:id="19"/>
    </w:p>
    <w:p w:rsidR="00FC3545" w:rsidRPr="00A857DF" w:rsidRDefault="00664493" w:rsidP="00FC3545">
      <w:pPr>
        <w:spacing w:line="336" w:lineRule="auto"/>
        <w:ind w:firstLine="547"/>
        <w:jc w:val="both"/>
        <w:rPr>
          <w:rFonts w:ascii="GHEA Grapalat" w:hAnsi="GHEA Grapalat"/>
          <w:sz w:val="22"/>
          <w:szCs w:val="22"/>
          <w:lang w:val="hy-AM"/>
        </w:rPr>
      </w:pPr>
      <w:r w:rsidRPr="00E57C0E">
        <w:rPr>
          <w:rFonts w:ascii="GHEA Grapalat" w:eastAsia="GHEA Grapalat" w:hAnsi="GHEA Grapalat" w:cs="GHEA Grapalat"/>
          <w:b/>
          <w:i/>
          <w:iCs/>
          <w:sz w:val="22"/>
          <w:szCs w:val="22"/>
          <w:lang w:val="hy-AM"/>
        </w:rPr>
        <w:t>Համախառն առաջարկ:</w:t>
      </w:r>
      <w:r w:rsidRPr="00E57C0E">
        <w:rPr>
          <w:rFonts w:ascii="GHEA Grapalat" w:eastAsia="GHEA Grapalat" w:hAnsi="GHEA Grapalat" w:cs="GHEA Grapalat"/>
          <w:b/>
          <w:sz w:val="22"/>
          <w:szCs w:val="22"/>
          <w:lang w:val="hy-AM"/>
        </w:rPr>
        <w:t xml:space="preserve"> </w:t>
      </w:r>
      <w:r w:rsidR="00FC3545" w:rsidRPr="00A857DF">
        <w:rPr>
          <w:rFonts w:ascii="GHEA Grapalat" w:hAnsi="GHEA Grapalat"/>
          <w:sz w:val="22"/>
          <w:szCs w:val="22"/>
          <w:lang w:val="hy-AM"/>
        </w:rPr>
        <w:t>Դեպի Հայաստան մարդկանց ներհոսք</w:t>
      </w:r>
      <w:r w:rsidR="002D68E7" w:rsidRPr="00A857DF">
        <w:rPr>
          <w:rFonts w:ascii="GHEA Grapalat" w:hAnsi="GHEA Grapalat"/>
          <w:sz w:val="22"/>
          <w:szCs w:val="22"/>
          <w:lang w:val="hy-AM"/>
        </w:rPr>
        <w:t>ի</w:t>
      </w:r>
      <w:r w:rsidR="00FC3545" w:rsidRPr="00A857DF">
        <w:rPr>
          <w:rFonts w:ascii="GHEA Grapalat" w:hAnsi="GHEA Grapalat"/>
          <w:sz w:val="22"/>
          <w:szCs w:val="22"/>
          <w:lang w:val="hy-AM"/>
        </w:rPr>
        <w:t>, զբոսաշրջության զգալի ավելացման, տեղեկատվական տեխնոլոգիաների ոլորտի ընկերությունների ՀՀ տեղափոխման, ինչպես նաև ՀՀ-ից դեպի Ռուսաստան արտահանման պահանջարկի ավելացման արդյունքում ձևավորված տնտեսական ակտիվության աճի բարձր տեմպերը շարունակվել են նաև 2023</w:t>
      </w:r>
      <w:r w:rsidR="0014126A" w:rsidRPr="00A857DF">
        <w:rPr>
          <w:rFonts w:ascii="GHEA Grapalat" w:hAnsi="GHEA Grapalat"/>
          <w:sz w:val="22"/>
          <w:szCs w:val="22"/>
          <w:lang w:val="hy-AM"/>
        </w:rPr>
        <w:t xml:space="preserve"> թվականի</w:t>
      </w:r>
      <w:r w:rsidR="00FC3545" w:rsidRPr="00A857DF">
        <w:rPr>
          <w:rFonts w:ascii="GHEA Grapalat" w:hAnsi="GHEA Grapalat"/>
          <w:sz w:val="22"/>
          <w:szCs w:val="22"/>
          <w:lang w:val="hy-AM"/>
        </w:rPr>
        <w:t xml:space="preserve"> առաջին կիսամյակում։ Արդյունքում 2023</w:t>
      </w:r>
      <w:r w:rsidR="0014126A" w:rsidRPr="00A857DF">
        <w:rPr>
          <w:rFonts w:ascii="GHEA Grapalat" w:hAnsi="GHEA Grapalat"/>
          <w:sz w:val="22"/>
          <w:szCs w:val="22"/>
          <w:lang w:val="hy-AM"/>
        </w:rPr>
        <w:t xml:space="preserve"> թվականի</w:t>
      </w:r>
      <w:r w:rsidR="00FC3545" w:rsidRPr="00A857DF">
        <w:rPr>
          <w:rFonts w:ascii="GHEA Grapalat" w:hAnsi="GHEA Grapalat"/>
          <w:sz w:val="22"/>
          <w:szCs w:val="22"/>
          <w:lang w:val="hy-AM"/>
        </w:rPr>
        <w:t xml:space="preserve"> հունվար-հունիսին նախորդ տարվա նույն ժամանակահատվածի համեմատ գրանցվել է տնտեսական ակտիվության ցուցանիշի 11.4% աճ (Գծապատկերներ 1-4)։ Տնտեսական ակտիվության աճը հիմնականում պայմանավորված է եղել ծառայությունների աճով (նպաստումը` 5.5 տոկոսային կետ): Տնտեսության մյուս ճյուղերի աճերը ևս նպաստել են տնտեսական ակտիվությանը։</w:t>
      </w:r>
    </w:p>
    <w:p w:rsidR="00FC3545" w:rsidRPr="00A857DF" w:rsidRDefault="00FC3545" w:rsidP="00FC3545">
      <w:pPr>
        <w:spacing w:line="336" w:lineRule="auto"/>
        <w:ind w:firstLine="547"/>
        <w:jc w:val="both"/>
        <w:rPr>
          <w:rFonts w:ascii="GHEA Grapalat" w:hAnsi="GHEA Grapalat"/>
          <w:sz w:val="22"/>
          <w:szCs w:val="22"/>
          <w:lang w:val="hy-AM"/>
        </w:rPr>
      </w:pPr>
      <w:r w:rsidRPr="00A857DF">
        <w:rPr>
          <w:rFonts w:ascii="GHEA Grapalat" w:hAnsi="GHEA Grapalat"/>
          <w:sz w:val="22"/>
          <w:szCs w:val="22"/>
          <w:lang w:val="hy-AM"/>
        </w:rPr>
        <w:t>Տնտեսական դրական զարգացումներին իր նպաստումն է շարունակում ունենալ բնակարանային շինարարության ոլորտի բարձր աշխո</w:t>
      </w:r>
      <w:r w:rsidR="002D68E7" w:rsidRPr="00A857DF">
        <w:rPr>
          <w:rFonts w:ascii="GHEA Grapalat" w:hAnsi="GHEA Grapalat"/>
          <w:sz w:val="22"/>
          <w:szCs w:val="22"/>
          <w:lang w:val="hy-AM"/>
        </w:rPr>
        <w:t>ւժությունը, որին նպաստել են հիպոտ</w:t>
      </w:r>
      <w:r w:rsidRPr="00A857DF">
        <w:rPr>
          <w:rFonts w:ascii="GHEA Grapalat" w:hAnsi="GHEA Grapalat"/>
          <w:sz w:val="22"/>
          <w:szCs w:val="22"/>
          <w:lang w:val="hy-AM"/>
        </w:rPr>
        <w:t>ե</w:t>
      </w:r>
      <w:r w:rsidR="002D68E7" w:rsidRPr="00A857DF">
        <w:rPr>
          <w:rFonts w:ascii="GHEA Grapalat" w:hAnsi="GHEA Grapalat"/>
          <w:sz w:val="22"/>
          <w:szCs w:val="22"/>
          <w:lang w:val="hy-AM"/>
        </w:rPr>
        <w:t>կ</w:t>
      </w:r>
      <w:r w:rsidRPr="00A857DF">
        <w:rPr>
          <w:rFonts w:ascii="GHEA Grapalat" w:hAnsi="GHEA Grapalat"/>
          <w:sz w:val="22"/>
          <w:szCs w:val="22"/>
          <w:lang w:val="hy-AM"/>
        </w:rPr>
        <w:t>ային վարկերի տոկոսավճարների</w:t>
      </w:r>
      <w:r w:rsidR="002D68E7" w:rsidRPr="00A857DF">
        <w:rPr>
          <w:rFonts w:ascii="GHEA Grapalat" w:hAnsi="GHEA Grapalat"/>
          <w:sz w:val="22"/>
          <w:szCs w:val="22"/>
          <w:lang w:val="hy-AM"/>
        </w:rPr>
        <w:t>՝</w:t>
      </w:r>
      <w:r w:rsidRPr="00A857DF">
        <w:rPr>
          <w:rFonts w:ascii="GHEA Grapalat" w:hAnsi="GHEA Grapalat"/>
          <w:sz w:val="22"/>
          <w:szCs w:val="22"/>
          <w:lang w:val="hy-AM"/>
        </w:rPr>
        <w:t xml:space="preserve"> եկամտահարկից վերադարձման պետական աջակցության ծրագիրը, ծրագրի աստիճանական Երևան քաղաքից դուրսբերման մասով կատարված օրենսդրական փոփոխությունները՝ ձևավորելով նորակառույց բնակարանների նկատմամբ բարձր պահանջարկ, ինչպես նաև օտարերկրացիների ներհոսքը:</w:t>
      </w:r>
    </w:p>
    <w:p w:rsidR="00FC3545" w:rsidRPr="00A857DF" w:rsidRDefault="00FC3545" w:rsidP="00FC3545">
      <w:pPr>
        <w:spacing w:line="336" w:lineRule="auto"/>
        <w:ind w:firstLine="547"/>
        <w:jc w:val="both"/>
        <w:rPr>
          <w:rFonts w:ascii="GHEA Grapalat" w:hAnsi="GHEA Grapalat"/>
          <w:sz w:val="22"/>
          <w:szCs w:val="22"/>
          <w:lang w:val="hy-AM"/>
        </w:rPr>
      </w:pPr>
      <w:r w:rsidRPr="00A857DF">
        <w:rPr>
          <w:rFonts w:ascii="GHEA Grapalat" w:eastAsia="GHEA Grapalat" w:hAnsi="GHEA Grapalat" w:cs="GHEA Grapalat"/>
          <w:b/>
          <w:i/>
          <w:iCs/>
          <w:sz w:val="22"/>
          <w:szCs w:val="22"/>
          <w:lang w:val="hy-AM"/>
        </w:rPr>
        <w:t>Արդյունաբերություն</w:t>
      </w:r>
      <w:r w:rsidRPr="00E57C0E">
        <w:rPr>
          <w:rFonts w:ascii="GHEA Grapalat" w:eastAsia="GHEA Grapalat" w:hAnsi="GHEA Grapalat" w:cs="GHEA Grapalat"/>
          <w:b/>
          <w:bCs/>
          <w:i/>
          <w:sz w:val="22"/>
          <w:szCs w:val="22"/>
          <w:vertAlign w:val="superscript"/>
        </w:rPr>
        <w:footnoteReference w:id="10"/>
      </w:r>
      <w:r w:rsidRPr="00A857DF">
        <w:rPr>
          <w:rFonts w:ascii="GHEA Grapalat" w:eastAsia="GHEA Grapalat" w:hAnsi="GHEA Grapalat" w:cs="GHEA Grapalat"/>
          <w:b/>
          <w:i/>
          <w:iCs/>
          <w:sz w:val="22"/>
          <w:szCs w:val="22"/>
          <w:lang w:val="hy-AM"/>
        </w:rPr>
        <w:t>։</w:t>
      </w:r>
      <w:r w:rsidRPr="00A857DF">
        <w:rPr>
          <w:rFonts w:ascii="GHEA Grapalat" w:eastAsia="GHEA Grapalat" w:hAnsi="GHEA Grapalat" w:cs="GHEA Grapalat"/>
          <w:b/>
          <w:sz w:val="22"/>
          <w:szCs w:val="22"/>
          <w:lang w:val="hy-AM"/>
        </w:rPr>
        <w:t xml:space="preserve"> </w:t>
      </w:r>
      <w:r w:rsidRPr="00A857DF">
        <w:rPr>
          <w:rFonts w:ascii="GHEA Grapalat" w:hAnsi="GHEA Grapalat"/>
          <w:sz w:val="22"/>
          <w:szCs w:val="22"/>
          <w:lang w:val="hy-AM"/>
        </w:rPr>
        <w:t>2023</w:t>
      </w:r>
      <w:r w:rsidR="0014126A" w:rsidRPr="00A857DF">
        <w:rPr>
          <w:rFonts w:ascii="GHEA Grapalat" w:hAnsi="GHEA Grapalat"/>
          <w:sz w:val="22"/>
          <w:szCs w:val="22"/>
          <w:lang w:val="hy-AM"/>
        </w:rPr>
        <w:t xml:space="preserve"> թվականի</w:t>
      </w:r>
      <w:r w:rsidRPr="00A857DF">
        <w:rPr>
          <w:rFonts w:ascii="GHEA Grapalat" w:hAnsi="GHEA Grapalat"/>
          <w:sz w:val="22"/>
          <w:szCs w:val="22"/>
          <w:lang w:val="hy-AM"/>
        </w:rPr>
        <w:t xml:space="preserve"> առաջին կիսամյակում արդյունաբերության ճյուղում գրանցվել է 1.0% թողարկման աճ՝ հիմնականում պայմանավորված մշակող արդյունաբերության աճով (նպաստումը՝ 2.6 տոկոսային կետ): Միաժամանակ հանքագործական արդյունաբերություն և բացհանքերի շահագործում</w:t>
      </w:r>
      <w:r w:rsidRPr="00A857DF" w:rsidDel="009C46B7">
        <w:rPr>
          <w:rFonts w:ascii="GHEA Grapalat" w:hAnsi="GHEA Grapalat"/>
          <w:sz w:val="22"/>
          <w:szCs w:val="22"/>
          <w:lang w:val="hy-AM"/>
        </w:rPr>
        <w:t xml:space="preserve"> </w:t>
      </w:r>
      <w:r w:rsidRPr="00A857DF">
        <w:rPr>
          <w:rFonts w:ascii="GHEA Grapalat" w:hAnsi="GHEA Grapalat"/>
          <w:sz w:val="22"/>
          <w:szCs w:val="22"/>
          <w:lang w:val="hy-AM"/>
        </w:rPr>
        <w:t>ենթաճյուղի նվազումը բացասաբար է ազդել (1.7 տոկոսային կետով) արդյունաբերության աճի</w:t>
      </w:r>
      <w:r w:rsidR="00DC168F" w:rsidRPr="00A857DF">
        <w:rPr>
          <w:rFonts w:ascii="GHEA Grapalat" w:hAnsi="GHEA Grapalat"/>
          <w:sz w:val="22"/>
          <w:szCs w:val="22"/>
          <w:lang w:val="hy-AM"/>
        </w:rPr>
        <w:t xml:space="preserve"> վրա</w:t>
      </w:r>
      <w:r w:rsidRPr="00A857DF">
        <w:rPr>
          <w:rFonts w:ascii="GHEA Grapalat" w:hAnsi="GHEA Grapalat"/>
          <w:sz w:val="22"/>
          <w:szCs w:val="22"/>
          <w:lang w:val="hy-AM"/>
        </w:rPr>
        <w:t xml:space="preserve">, ինչը պայմանավորված է եղել մետաղական հանքաքարի արդյունահանման նվազմամբ (նպաստումը` 1.8 տոկոսային կետ): </w:t>
      </w:r>
    </w:p>
    <w:p w:rsidR="00FC3545" w:rsidRPr="00A857DF" w:rsidRDefault="00FC3545" w:rsidP="00FC3545">
      <w:pPr>
        <w:spacing w:line="336" w:lineRule="auto"/>
        <w:ind w:firstLine="547"/>
        <w:jc w:val="both"/>
        <w:rPr>
          <w:rFonts w:ascii="GHEA Grapalat" w:hAnsi="GHEA Grapalat"/>
          <w:sz w:val="22"/>
          <w:szCs w:val="22"/>
          <w:lang w:val="hy-AM"/>
        </w:rPr>
      </w:pPr>
      <w:r w:rsidRPr="00A857DF">
        <w:rPr>
          <w:rFonts w:ascii="GHEA Grapalat" w:hAnsi="GHEA Grapalat"/>
          <w:sz w:val="22"/>
          <w:szCs w:val="22"/>
          <w:lang w:val="hy-AM"/>
        </w:rPr>
        <w:t>ՌԴ ներմուծման շուկաների սահմանափակումները շարունակել են նպաստել ՀՀ-ից դեպի ՌԴ մշակող արդյունաբերության արտահանման ավելացմանը, իսկ ծառայությունների և շինարարության ոլորտի դրական զարգացումները մեծացրել են մշակող արդյունաբերության որոշ տեսակների նկատմամբ պահանջարկը: Ենթաճյուղի աճը հիմնականում պայմանավորված է եղել այլ ոչ մետաղական հանքային արտադրատեսակների (նպաստումը` 2.8 տոկոսային կետ), ծխախոտային արտադրատեսակների (նպաստումը` 1.4 տոկոսային կետ), պոլիգրաֆիական գործունեության (նպաստումը` 1.4 տոկոսային կետ), ինչպես նաև ոսկերչական արտադրատեսակների (նպաստումը` 1.2 տոկոսային կետ) արտադրության ծավալների աճով:</w:t>
      </w:r>
    </w:p>
    <w:p w:rsidR="00FC3545" w:rsidRPr="00A857DF" w:rsidRDefault="00FC3545" w:rsidP="00FC3545">
      <w:pPr>
        <w:spacing w:line="336" w:lineRule="auto"/>
        <w:ind w:firstLine="567"/>
        <w:jc w:val="both"/>
        <w:rPr>
          <w:rFonts w:ascii="GHEA Grapalat" w:hAnsi="GHEA Grapalat"/>
          <w:sz w:val="22"/>
          <w:szCs w:val="22"/>
          <w:lang w:val="hy-AM"/>
        </w:rPr>
      </w:pPr>
      <w:r w:rsidRPr="00A857DF">
        <w:rPr>
          <w:rFonts w:ascii="GHEA Grapalat" w:eastAsia="GHEA Grapalat" w:hAnsi="GHEA Grapalat" w:cs="GHEA Grapalat"/>
          <w:b/>
          <w:i/>
          <w:iCs/>
          <w:sz w:val="22"/>
          <w:szCs w:val="22"/>
          <w:lang w:val="hy-AM"/>
        </w:rPr>
        <w:lastRenderedPageBreak/>
        <w:t>Գյուղատնտեսություն։</w:t>
      </w:r>
      <w:r w:rsidRPr="00A857DF">
        <w:rPr>
          <w:rFonts w:ascii="GHEA Grapalat" w:eastAsia="GHEA Grapalat" w:hAnsi="GHEA Grapalat" w:cs="GHEA Grapalat"/>
          <w:b/>
          <w:sz w:val="22"/>
          <w:szCs w:val="22"/>
          <w:lang w:val="hy-AM"/>
        </w:rPr>
        <w:t xml:space="preserve"> </w:t>
      </w:r>
      <w:r w:rsidRPr="00A857DF">
        <w:rPr>
          <w:rFonts w:ascii="GHEA Grapalat" w:hAnsi="GHEA Grapalat"/>
          <w:sz w:val="22"/>
          <w:szCs w:val="22"/>
          <w:lang w:val="hy-AM"/>
        </w:rPr>
        <w:t>2023 թվականի առաջին կիսամյակում գյուղատնտեսության, անտառային տնտեսության և ձկնորսության համախառն արտադրանքն աճել է 1.6%-ով՝ պայմանավորված բուսաբուծության աճով (նպաստումը` 3.9 տոկոսային կետ)։ Բուսաբուծության աճն իր հերթին պայմանավորված է եղել կարտոֆիլի, պտղի և հատապտղի, ինչպես նաև բանջարեղենի բերքի աճով։ Միաժամանակ անասնաբուծության նվազումը 2.1 տոկոսային կետով հակազդել է ճյուղի աճին։ Անասնաբուծության նվազումն իր հերթին պայմանավորված է եղել կաթի և ձվի արտադրության,</w:t>
      </w:r>
      <w:r w:rsidR="008B7237" w:rsidRPr="00A857DF">
        <w:rPr>
          <w:rFonts w:ascii="GHEA Grapalat" w:hAnsi="GHEA Grapalat"/>
          <w:sz w:val="22"/>
          <w:szCs w:val="22"/>
          <w:lang w:val="hy-AM"/>
        </w:rPr>
        <w:t xml:space="preserve"> </w:t>
      </w:r>
      <w:r w:rsidRPr="00A857DF">
        <w:rPr>
          <w:rFonts w:ascii="GHEA Grapalat" w:hAnsi="GHEA Grapalat"/>
          <w:sz w:val="22"/>
          <w:szCs w:val="22"/>
          <w:lang w:val="hy-AM"/>
        </w:rPr>
        <w:t>ինչպես նաև սպանդի համար գյուղատնտեսական կենդանու և թռչնի</w:t>
      </w:r>
      <w:r w:rsidRPr="00A857DF" w:rsidDel="004E0F55">
        <w:rPr>
          <w:rFonts w:ascii="GHEA Grapalat" w:hAnsi="GHEA Grapalat"/>
          <w:sz w:val="22"/>
          <w:szCs w:val="22"/>
          <w:lang w:val="hy-AM"/>
        </w:rPr>
        <w:t xml:space="preserve"> </w:t>
      </w:r>
      <w:r w:rsidRPr="00A857DF">
        <w:rPr>
          <w:rFonts w:ascii="GHEA Grapalat" w:hAnsi="GHEA Grapalat"/>
          <w:sz w:val="22"/>
          <w:szCs w:val="22"/>
          <w:lang w:val="hy-AM"/>
        </w:rPr>
        <w:t xml:space="preserve">իրացման նվազմամբ, ինչի պատճառ է հանդիսացել տնային տնտեսությունների անասնագլխաքանակի նվազումը: </w:t>
      </w:r>
    </w:p>
    <w:p w:rsidR="00FC3545" w:rsidRPr="00A857DF" w:rsidRDefault="00FC3545" w:rsidP="00FC3545">
      <w:pPr>
        <w:spacing w:line="336" w:lineRule="auto"/>
        <w:ind w:firstLine="567"/>
        <w:jc w:val="both"/>
        <w:rPr>
          <w:rFonts w:ascii="GHEA Grapalat" w:eastAsia="GHEA Grapalat" w:hAnsi="GHEA Grapalat" w:cs="Sylfaen"/>
          <w:sz w:val="22"/>
          <w:szCs w:val="22"/>
          <w:lang w:val="hy-AM"/>
        </w:rPr>
      </w:pPr>
      <w:r w:rsidRPr="00A857DF">
        <w:rPr>
          <w:rFonts w:ascii="GHEA Grapalat" w:eastAsia="GHEA Grapalat" w:hAnsi="GHEA Grapalat" w:cs="GHEA Grapalat"/>
          <w:b/>
          <w:i/>
          <w:iCs/>
          <w:sz w:val="22"/>
          <w:szCs w:val="22"/>
          <w:lang w:val="hy-AM"/>
        </w:rPr>
        <w:t>Շինարարություն։</w:t>
      </w:r>
      <w:r w:rsidRPr="00A857DF">
        <w:rPr>
          <w:rFonts w:ascii="GHEA Grapalat" w:eastAsia="GHEA Grapalat" w:hAnsi="GHEA Grapalat" w:cs="GHEA Grapalat"/>
          <w:sz w:val="22"/>
          <w:szCs w:val="22"/>
          <w:lang w:val="hy-AM"/>
        </w:rPr>
        <w:t xml:space="preserve"> Շինարարության ճյուղում գրանցված 17% աճը պայմանավորված է եղել հիմնականում կազմակերպությունների միջոցներով</w:t>
      </w:r>
      <w:r w:rsidRPr="00A857DF" w:rsidDel="000521F3">
        <w:rPr>
          <w:rFonts w:ascii="GHEA Grapalat" w:eastAsia="GHEA Grapalat" w:hAnsi="GHEA Grapalat" w:cs="GHEA Grapalat"/>
          <w:sz w:val="22"/>
          <w:szCs w:val="22"/>
          <w:lang w:val="hy-AM"/>
        </w:rPr>
        <w:t xml:space="preserve"> </w:t>
      </w:r>
      <w:r w:rsidRPr="00A857DF">
        <w:rPr>
          <w:rFonts w:ascii="GHEA Grapalat" w:eastAsia="GHEA Grapalat" w:hAnsi="GHEA Grapalat" w:cs="GHEA Grapalat"/>
          <w:sz w:val="22"/>
          <w:szCs w:val="22"/>
          <w:lang w:val="hy-AM"/>
        </w:rPr>
        <w:t xml:space="preserve">իրականացված շինարարության ծավալների աճերով (նպաստումը` 22.2 տոկոսային կետեր)։ Կազմակերպությունների միջոցներով իրականացված շինարարության ծավալների աճը պայմանավորվել է ներքին ներդրողների միջոցներով ֆինանսավորվող շինարարության աճով, որն իր հերթին վկայում է ներքին միջոցներով իրականացվող մասնավոր ներդրումների աճի մասին (պայմանավորված հիմնականում բնակարանային շինարարության ծավալների աճով, որին նպաստել է </w:t>
      </w:r>
      <w:r w:rsidR="00BA01E2" w:rsidRPr="00A857DF">
        <w:rPr>
          <w:rFonts w:ascii="GHEA Grapalat" w:eastAsia="GHEA Grapalat" w:hAnsi="GHEA Grapalat" w:cs="GHEA Grapalat"/>
          <w:sz w:val="22"/>
          <w:szCs w:val="22"/>
          <w:lang w:val="hy-AM"/>
        </w:rPr>
        <w:t>հիպոտեկ</w:t>
      </w:r>
      <w:r w:rsidRPr="00A857DF">
        <w:rPr>
          <w:rFonts w:ascii="GHEA Grapalat" w:eastAsia="GHEA Grapalat" w:hAnsi="GHEA Grapalat" w:cs="GHEA Grapalat"/>
          <w:sz w:val="22"/>
          <w:szCs w:val="22"/>
          <w:lang w:val="hy-AM"/>
        </w:rPr>
        <w:t>ային վարկերի տոկոսավճարների</w:t>
      </w:r>
      <w:r w:rsidR="00BA01E2" w:rsidRPr="00A857DF">
        <w:rPr>
          <w:rFonts w:ascii="GHEA Grapalat" w:eastAsia="GHEA Grapalat" w:hAnsi="GHEA Grapalat" w:cs="GHEA Grapalat"/>
          <w:sz w:val="22"/>
          <w:szCs w:val="22"/>
          <w:lang w:val="hy-AM"/>
        </w:rPr>
        <w:t>՝</w:t>
      </w:r>
      <w:r w:rsidRPr="00A857DF">
        <w:rPr>
          <w:rFonts w:ascii="GHEA Grapalat" w:eastAsia="GHEA Grapalat" w:hAnsi="GHEA Grapalat" w:cs="GHEA Grapalat"/>
          <w:sz w:val="22"/>
          <w:szCs w:val="22"/>
          <w:lang w:val="hy-AM"/>
        </w:rPr>
        <w:t xml:space="preserve"> եկամտահարկից վերադարձման պետական աջակցության ծրագիրը</w:t>
      </w:r>
      <w:r w:rsidRPr="00A857DF">
        <w:rPr>
          <w:rFonts w:ascii="GHEA Grapalat" w:eastAsia="GHEA Grapalat" w:hAnsi="GHEA Grapalat" w:cs="Sylfaen"/>
          <w:sz w:val="22"/>
          <w:szCs w:val="22"/>
          <w:lang w:val="hy-AM"/>
        </w:rPr>
        <w:t>, ինչպես նաև օտարերկրյա քաղաքացիների մեծ ներհոսքի պայմաններում բնակարանային շուկայում առաջացած պահանջարկը)։ Մինչդեռ պետական բյուջեի միջոցներով ֆինանսավորվող շինարարության նվազումը հակազդել է շինարարության ընդհանուր աճին (7.2 տոկոսային</w:t>
      </w:r>
      <w:bookmarkStart w:id="20" w:name="_Hlk110694542"/>
      <w:r w:rsidRPr="00A857DF">
        <w:rPr>
          <w:rFonts w:ascii="GHEA Grapalat" w:eastAsia="GHEA Grapalat" w:hAnsi="GHEA Grapalat" w:cs="Sylfaen"/>
          <w:sz w:val="22"/>
          <w:szCs w:val="22"/>
          <w:lang w:val="hy-AM"/>
        </w:rPr>
        <w:t xml:space="preserve"> կետ</w:t>
      </w:r>
      <w:bookmarkEnd w:id="20"/>
      <w:r w:rsidRPr="00A857DF">
        <w:rPr>
          <w:rFonts w:ascii="GHEA Grapalat" w:eastAsia="GHEA Grapalat" w:hAnsi="GHEA Grapalat" w:cs="Sylfaen"/>
          <w:sz w:val="22"/>
          <w:szCs w:val="22"/>
          <w:lang w:val="hy-AM"/>
        </w:rPr>
        <w:t>)՝ պայմանավորված ինչպես միջազգային վարկերով, այնպես էլ զուտ պետական բյուջեի միջոցներով ֆինանսավորվող շինարարության ծավալների նվազ</w:t>
      </w:r>
      <w:r w:rsidR="00BA01E2" w:rsidRPr="00A857DF">
        <w:rPr>
          <w:rFonts w:ascii="GHEA Grapalat" w:eastAsia="GHEA Grapalat" w:hAnsi="GHEA Grapalat" w:cs="Sylfaen"/>
          <w:sz w:val="22"/>
          <w:szCs w:val="22"/>
          <w:lang w:val="hy-AM"/>
        </w:rPr>
        <w:t>մամբ</w:t>
      </w:r>
      <w:r w:rsidRPr="00E57C0E">
        <w:rPr>
          <w:rStyle w:val="FootnoteReference"/>
          <w:rFonts w:ascii="GHEA Grapalat" w:eastAsia="GHEA Grapalat" w:hAnsi="GHEA Grapalat" w:cs="Sylfaen"/>
          <w:sz w:val="22"/>
          <w:szCs w:val="22"/>
        </w:rPr>
        <w:footnoteReference w:id="11"/>
      </w:r>
      <w:r w:rsidR="00BA01E2" w:rsidRPr="00A857DF">
        <w:rPr>
          <w:rFonts w:ascii="GHEA Grapalat" w:eastAsia="GHEA Grapalat" w:hAnsi="GHEA Grapalat" w:cs="Sylfaen"/>
          <w:sz w:val="22"/>
          <w:szCs w:val="22"/>
          <w:lang w:val="hy-AM"/>
        </w:rPr>
        <w:t>:</w:t>
      </w:r>
    </w:p>
    <w:p w:rsidR="00FC3545" w:rsidRPr="00A857DF" w:rsidRDefault="00FC3545" w:rsidP="00FC3545">
      <w:pPr>
        <w:spacing w:line="336" w:lineRule="auto"/>
        <w:ind w:firstLine="547"/>
        <w:jc w:val="both"/>
        <w:rPr>
          <w:rFonts w:ascii="GHEA Grapalat" w:eastAsia="GHEA Grapalat" w:hAnsi="GHEA Grapalat" w:cs="GHEA Grapalat"/>
          <w:sz w:val="22"/>
          <w:szCs w:val="22"/>
          <w:lang w:val="hy-AM"/>
        </w:rPr>
      </w:pPr>
      <w:r w:rsidRPr="00A857DF">
        <w:rPr>
          <w:rFonts w:ascii="GHEA Grapalat" w:eastAsia="GHEA Grapalat" w:hAnsi="GHEA Grapalat" w:cs="GHEA Grapalat"/>
          <w:sz w:val="22"/>
          <w:szCs w:val="22"/>
          <w:lang w:val="hy-AM"/>
        </w:rPr>
        <w:t xml:space="preserve">Ըստ տնտեսական գործունեության տեսակների՝ շինարարության աճին հիմնականում նպաստել է անշարժ գույքի հետ կապված գործունեության (հիմնականում՝ բնակարանաշինություն) ոլորտում շինարարության ծավալների աճը: Մինչդեռ տրանսպորտ, էլեկտրականության, գազի, գոլորշու և լավորակ օդի մատակարարում, ինչպես նաև գյուղատնտեսություն, անտառային տնտեսություն և ձկնորսություն ենթաճյուղերում իրականացված շինարարության ծավալների նվազումներն էականորեն հակազդել են ընդհանուր շինարարության աճին։ </w:t>
      </w:r>
    </w:p>
    <w:p w:rsidR="00FC3545" w:rsidRPr="00A857DF" w:rsidRDefault="00FC3545" w:rsidP="00FC3545">
      <w:pPr>
        <w:spacing w:line="336" w:lineRule="auto"/>
        <w:ind w:firstLine="547"/>
        <w:jc w:val="both"/>
        <w:rPr>
          <w:rFonts w:ascii="GHEA Grapalat" w:eastAsia="GHEA Grapalat" w:hAnsi="GHEA Grapalat" w:cs="GHEA Grapalat"/>
          <w:sz w:val="22"/>
          <w:szCs w:val="22"/>
          <w:lang w:val="hy-AM"/>
        </w:rPr>
      </w:pPr>
      <w:r w:rsidRPr="00A857DF">
        <w:rPr>
          <w:rFonts w:ascii="GHEA Grapalat" w:eastAsia="GHEA Grapalat" w:hAnsi="GHEA Grapalat" w:cs="GHEA Grapalat"/>
          <w:b/>
          <w:i/>
          <w:iCs/>
          <w:sz w:val="22"/>
          <w:szCs w:val="22"/>
          <w:lang w:val="hy-AM"/>
        </w:rPr>
        <w:t>Ծառայություններ և առևտուր։</w:t>
      </w:r>
      <w:r w:rsidRPr="00A857DF">
        <w:rPr>
          <w:rFonts w:ascii="GHEA Grapalat" w:eastAsia="GHEA Grapalat" w:hAnsi="GHEA Grapalat" w:cs="GHEA Grapalat"/>
          <w:b/>
          <w:sz w:val="22"/>
          <w:szCs w:val="22"/>
          <w:lang w:val="hy-AM"/>
        </w:rPr>
        <w:t xml:space="preserve"> </w:t>
      </w:r>
      <w:r w:rsidRPr="00A857DF">
        <w:rPr>
          <w:rFonts w:ascii="GHEA Grapalat" w:eastAsia="GHEA Grapalat" w:hAnsi="GHEA Grapalat" w:cs="GHEA Grapalat"/>
          <w:bCs/>
          <w:sz w:val="22"/>
          <w:szCs w:val="22"/>
          <w:lang w:val="hy-AM"/>
        </w:rPr>
        <w:t>Ծառայություններն աճել են 16.8%-ով՝</w:t>
      </w:r>
      <w:r w:rsidRPr="00A857DF">
        <w:rPr>
          <w:rFonts w:ascii="GHEA Grapalat" w:eastAsia="GHEA Grapalat" w:hAnsi="GHEA Grapalat" w:cs="GHEA Grapalat"/>
          <w:b/>
          <w:sz w:val="22"/>
          <w:szCs w:val="22"/>
          <w:lang w:val="hy-AM"/>
        </w:rPr>
        <w:t xml:space="preserve"> </w:t>
      </w:r>
      <w:r w:rsidRPr="00A857DF">
        <w:rPr>
          <w:rFonts w:ascii="GHEA Grapalat" w:eastAsia="GHEA Grapalat" w:hAnsi="GHEA Grapalat" w:cs="GHEA Grapalat"/>
          <w:sz w:val="22"/>
          <w:szCs w:val="22"/>
          <w:lang w:val="hy-AM"/>
        </w:rPr>
        <w:t>հիմնականում պայմանավորված տեղեկատվություն և կապ (</w:t>
      </w:r>
      <w:r w:rsidRPr="00A857DF">
        <w:rPr>
          <w:rFonts w:ascii="GHEA Grapalat" w:eastAsia="GHEA Grapalat" w:hAnsi="GHEA Grapalat" w:cs="Sylfaen"/>
          <w:sz w:val="22"/>
          <w:szCs w:val="22"/>
          <w:lang w:val="hy-AM"/>
        </w:rPr>
        <w:t>նպաստումը</w:t>
      </w:r>
      <w:r w:rsidRPr="00A857DF">
        <w:rPr>
          <w:rFonts w:ascii="GHEA Grapalat" w:eastAsia="GHEA Grapalat" w:hAnsi="GHEA Grapalat" w:cs="GHEA Grapalat"/>
          <w:sz w:val="22"/>
          <w:szCs w:val="22"/>
          <w:lang w:val="hy-AM"/>
        </w:rPr>
        <w:t xml:space="preserve">` 9.7 </w:t>
      </w:r>
      <w:r w:rsidRPr="00A857DF">
        <w:rPr>
          <w:rFonts w:ascii="GHEA Grapalat" w:eastAsia="GHEA Grapalat" w:hAnsi="GHEA Grapalat" w:cs="Sylfaen"/>
          <w:sz w:val="22"/>
          <w:szCs w:val="22"/>
          <w:lang w:val="hy-AM"/>
        </w:rPr>
        <w:t>տոկոսային</w:t>
      </w:r>
      <w:r w:rsidRPr="00A857DF">
        <w:rPr>
          <w:rFonts w:ascii="GHEA Grapalat" w:eastAsia="GHEA Grapalat" w:hAnsi="GHEA Grapalat" w:cs="GHEA Grapalat"/>
          <w:sz w:val="22"/>
          <w:szCs w:val="22"/>
          <w:lang w:val="hy-AM"/>
        </w:rPr>
        <w:t xml:space="preserve"> </w:t>
      </w:r>
      <w:r w:rsidRPr="00A857DF">
        <w:rPr>
          <w:rFonts w:ascii="GHEA Grapalat" w:eastAsia="GHEA Grapalat" w:hAnsi="GHEA Grapalat" w:cs="Sylfaen"/>
          <w:sz w:val="22"/>
          <w:szCs w:val="22"/>
          <w:lang w:val="hy-AM"/>
        </w:rPr>
        <w:t xml:space="preserve">կետ), </w:t>
      </w:r>
      <w:r w:rsidRPr="00A857DF">
        <w:rPr>
          <w:rFonts w:ascii="GHEA Grapalat" w:eastAsia="GHEA Grapalat" w:hAnsi="GHEA Grapalat" w:cs="GHEA Grapalat"/>
          <w:sz w:val="22"/>
          <w:szCs w:val="22"/>
          <w:lang w:val="hy-AM"/>
        </w:rPr>
        <w:t>տրանսպորտ (</w:t>
      </w:r>
      <w:r w:rsidRPr="00A857DF">
        <w:rPr>
          <w:rFonts w:ascii="GHEA Grapalat" w:eastAsia="GHEA Grapalat" w:hAnsi="GHEA Grapalat" w:cs="Sylfaen"/>
          <w:sz w:val="22"/>
          <w:szCs w:val="22"/>
          <w:lang w:val="hy-AM"/>
        </w:rPr>
        <w:t>նպաստումը</w:t>
      </w:r>
      <w:r w:rsidRPr="00A857DF">
        <w:rPr>
          <w:rFonts w:ascii="GHEA Grapalat" w:eastAsia="GHEA Grapalat" w:hAnsi="GHEA Grapalat" w:cs="GHEA Grapalat"/>
          <w:sz w:val="22"/>
          <w:szCs w:val="22"/>
          <w:lang w:val="hy-AM"/>
        </w:rPr>
        <w:t xml:space="preserve">` 4.1 </w:t>
      </w:r>
      <w:r w:rsidRPr="00A857DF">
        <w:rPr>
          <w:rFonts w:ascii="GHEA Grapalat" w:eastAsia="GHEA Grapalat" w:hAnsi="GHEA Grapalat" w:cs="Sylfaen"/>
          <w:sz w:val="22"/>
          <w:szCs w:val="22"/>
          <w:lang w:val="hy-AM"/>
        </w:rPr>
        <w:t>տոկոսային</w:t>
      </w:r>
      <w:r w:rsidRPr="00A857DF">
        <w:rPr>
          <w:rFonts w:ascii="GHEA Grapalat" w:eastAsia="GHEA Grapalat" w:hAnsi="GHEA Grapalat" w:cs="GHEA Grapalat"/>
          <w:sz w:val="22"/>
          <w:szCs w:val="22"/>
          <w:lang w:val="hy-AM"/>
        </w:rPr>
        <w:t xml:space="preserve"> </w:t>
      </w:r>
      <w:r w:rsidRPr="00A857DF">
        <w:rPr>
          <w:rFonts w:ascii="GHEA Grapalat" w:eastAsia="GHEA Grapalat" w:hAnsi="GHEA Grapalat" w:cs="Sylfaen"/>
          <w:sz w:val="22"/>
          <w:szCs w:val="22"/>
          <w:lang w:val="hy-AM"/>
        </w:rPr>
        <w:t>կետ),</w:t>
      </w:r>
      <w:r w:rsidRPr="00A857DF">
        <w:rPr>
          <w:rFonts w:ascii="GHEA Grapalat" w:eastAsia="GHEA Grapalat" w:hAnsi="GHEA Grapalat" w:cs="GHEA Grapalat"/>
          <w:sz w:val="22"/>
          <w:szCs w:val="22"/>
          <w:lang w:val="hy-AM"/>
        </w:rPr>
        <w:t xml:space="preserve"> ինչպես նաև կացության և հանրային սննդի կազմակերպում (</w:t>
      </w:r>
      <w:r w:rsidRPr="00A857DF">
        <w:rPr>
          <w:rFonts w:ascii="GHEA Grapalat" w:eastAsia="GHEA Grapalat" w:hAnsi="GHEA Grapalat" w:cs="Sylfaen"/>
          <w:sz w:val="22"/>
          <w:szCs w:val="22"/>
          <w:lang w:val="hy-AM"/>
        </w:rPr>
        <w:t>նպաստումը</w:t>
      </w:r>
      <w:r w:rsidRPr="00A857DF">
        <w:rPr>
          <w:rFonts w:ascii="GHEA Grapalat" w:eastAsia="GHEA Grapalat" w:hAnsi="GHEA Grapalat" w:cs="GHEA Grapalat"/>
          <w:sz w:val="22"/>
          <w:szCs w:val="22"/>
          <w:lang w:val="hy-AM"/>
        </w:rPr>
        <w:t xml:space="preserve">` 2.2 </w:t>
      </w:r>
      <w:r w:rsidRPr="00A857DF">
        <w:rPr>
          <w:rFonts w:ascii="GHEA Grapalat" w:eastAsia="GHEA Grapalat" w:hAnsi="GHEA Grapalat" w:cs="Sylfaen"/>
          <w:sz w:val="22"/>
          <w:szCs w:val="22"/>
          <w:lang w:val="hy-AM"/>
        </w:rPr>
        <w:t>տոկոսային</w:t>
      </w:r>
      <w:r w:rsidRPr="00A857DF">
        <w:rPr>
          <w:rFonts w:ascii="GHEA Grapalat" w:eastAsia="GHEA Grapalat" w:hAnsi="GHEA Grapalat" w:cs="GHEA Grapalat"/>
          <w:sz w:val="22"/>
          <w:szCs w:val="22"/>
          <w:lang w:val="hy-AM"/>
        </w:rPr>
        <w:t xml:space="preserve"> </w:t>
      </w:r>
      <w:r w:rsidRPr="00A857DF">
        <w:rPr>
          <w:rFonts w:ascii="GHEA Grapalat" w:eastAsia="GHEA Grapalat" w:hAnsi="GHEA Grapalat" w:cs="Sylfaen"/>
          <w:sz w:val="22"/>
          <w:szCs w:val="22"/>
          <w:lang w:val="hy-AM"/>
        </w:rPr>
        <w:t>կետ)</w:t>
      </w:r>
      <w:r w:rsidRPr="00A857DF">
        <w:rPr>
          <w:rFonts w:ascii="GHEA Grapalat" w:eastAsia="GHEA Grapalat" w:hAnsi="GHEA Grapalat" w:cs="GHEA Grapalat"/>
          <w:sz w:val="22"/>
          <w:szCs w:val="22"/>
          <w:lang w:val="hy-AM"/>
        </w:rPr>
        <w:t xml:space="preserve"> ենթաճյուղերի աճերով: Ճյուղի աճի</w:t>
      </w:r>
      <w:r w:rsidR="009221CA" w:rsidRPr="00A857DF">
        <w:rPr>
          <w:rFonts w:ascii="GHEA Grapalat" w:eastAsia="GHEA Grapalat" w:hAnsi="GHEA Grapalat" w:cs="GHEA Grapalat"/>
          <w:sz w:val="22"/>
          <w:szCs w:val="22"/>
          <w:lang w:val="hy-AM"/>
        </w:rPr>
        <w:t xml:space="preserve"> վրա</w:t>
      </w:r>
      <w:r w:rsidRPr="00A857DF">
        <w:rPr>
          <w:rFonts w:ascii="GHEA Grapalat" w:eastAsia="GHEA Grapalat" w:hAnsi="GHEA Grapalat" w:cs="GHEA Grapalat"/>
          <w:sz w:val="22"/>
          <w:szCs w:val="22"/>
          <w:lang w:val="hy-AM"/>
        </w:rPr>
        <w:t xml:space="preserve"> բացասա</w:t>
      </w:r>
      <w:r w:rsidR="009221CA" w:rsidRPr="00A857DF">
        <w:rPr>
          <w:rFonts w:ascii="GHEA Grapalat" w:eastAsia="GHEA Grapalat" w:hAnsi="GHEA Grapalat" w:cs="GHEA Grapalat"/>
          <w:sz w:val="22"/>
          <w:szCs w:val="22"/>
          <w:lang w:val="hy-AM"/>
        </w:rPr>
        <w:t>բար</w:t>
      </w:r>
      <w:r w:rsidRPr="00A857DF">
        <w:rPr>
          <w:rFonts w:ascii="GHEA Grapalat" w:eastAsia="GHEA Grapalat" w:hAnsi="GHEA Grapalat" w:cs="GHEA Grapalat"/>
          <w:sz w:val="22"/>
          <w:szCs w:val="22"/>
          <w:lang w:val="hy-AM"/>
        </w:rPr>
        <w:t xml:space="preserve"> է ազդել </w:t>
      </w:r>
      <w:r w:rsidRPr="00A857DF">
        <w:rPr>
          <w:rFonts w:ascii="GHEA Grapalat" w:eastAsia="GHEA Grapalat" w:hAnsi="GHEA Grapalat" w:cs="GHEA Grapalat"/>
          <w:sz w:val="22"/>
          <w:szCs w:val="22"/>
          <w:lang w:val="hy-AM"/>
        </w:rPr>
        <w:lastRenderedPageBreak/>
        <w:t>միայն ֆինանսական և ապահովագրական գործունեության նվազումը (</w:t>
      </w:r>
      <w:r w:rsidRPr="00A857DF">
        <w:rPr>
          <w:rFonts w:ascii="GHEA Grapalat" w:eastAsia="GHEA Grapalat" w:hAnsi="GHEA Grapalat" w:cs="Sylfaen"/>
          <w:sz w:val="22"/>
          <w:szCs w:val="22"/>
          <w:lang w:val="hy-AM"/>
        </w:rPr>
        <w:t>նպաստումը</w:t>
      </w:r>
      <w:r w:rsidRPr="00A857DF">
        <w:rPr>
          <w:rFonts w:ascii="GHEA Grapalat" w:eastAsia="GHEA Grapalat" w:hAnsi="GHEA Grapalat" w:cs="GHEA Grapalat"/>
          <w:sz w:val="22"/>
          <w:szCs w:val="22"/>
          <w:lang w:val="hy-AM"/>
        </w:rPr>
        <w:t xml:space="preserve">` 1.1 </w:t>
      </w:r>
      <w:r w:rsidRPr="00A857DF">
        <w:rPr>
          <w:rFonts w:ascii="GHEA Grapalat" w:eastAsia="GHEA Grapalat" w:hAnsi="GHEA Grapalat" w:cs="Sylfaen"/>
          <w:sz w:val="22"/>
          <w:szCs w:val="22"/>
          <w:lang w:val="hy-AM"/>
        </w:rPr>
        <w:t>տոկոսային</w:t>
      </w:r>
      <w:r w:rsidRPr="00A857DF">
        <w:rPr>
          <w:rFonts w:ascii="GHEA Grapalat" w:eastAsia="GHEA Grapalat" w:hAnsi="GHEA Grapalat" w:cs="GHEA Grapalat"/>
          <w:sz w:val="22"/>
          <w:szCs w:val="22"/>
          <w:lang w:val="hy-AM"/>
        </w:rPr>
        <w:t xml:space="preserve"> </w:t>
      </w:r>
      <w:r w:rsidRPr="00A857DF">
        <w:rPr>
          <w:rFonts w:ascii="GHEA Grapalat" w:eastAsia="GHEA Grapalat" w:hAnsi="GHEA Grapalat" w:cs="Sylfaen"/>
          <w:sz w:val="22"/>
          <w:szCs w:val="22"/>
          <w:lang w:val="hy-AM"/>
        </w:rPr>
        <w:t xml:space="preserve">կետ)՝ պայմանավորված հունիս ամսին ենթաճյուղի 30.3% նվազմամբ։ Ենթաճյուղի նվազմանը նպաստել է բանկերի գործունեության նվազումը։ Վերջինս տեղի է ունեցել անցյալ տարվա նույն ժամանակահատվածում ենթաճյուղի բարձր աճի բազայի վրա՝ որպես արտարժույթի ներհոսքից բարձր ոչ տոկոսային եկամուտների դանդաղման հետևանք։ </w:t>
      </w:r>
    </w:p>
    <w:p w:rsidR="00FC3545" w:rsidRPr="00A857DF" w:rsidRDefault="00FC3545" w:rsidP="00FC3545">
      <w:pPr>
        <w:spacing w:line="336" w:lineRule="auto"/>
        <w:ind w:firstLine="547"/>
        <w:jc w:val="both"/>
        <w:rPr>
          <w:rFonts w:ascii="GHEA Grapalat" w:eastAsia="GHEA Grapalat" w:hAnsi="GHEA Grapalat" w:cs="GHEA Grapalat"/>
          <w:sz w:val="22"/>
          <w:szCs w:val="22"/>
          <w:lang w:val="hy-AM"/>
        </w:rPr>
      </w:pPr>
      <w:r w:rsidRPr="00A857DF">
        <w:rPr>
          <w:rFonts w:ascii="GHEA Grapalat" w:eastAsia="GHEA Grapalat" w:hAnsi="GHEA Grapalat" w:cs="GHEA Grapalat"/>
          <w:sz w:val="22"/>
          <w:szCs w:val="22"/>
          <w:lang w:val="hy-AM"/>
        </w:rPr>
        <w:t>Տեղեկատվություն և կապ, տրանսպորտ, ինչպես նաև կացության և հանրային սննդի կազմակերպում ենթաճյուղերի դրական զարգացումները պայմանավորված են եղել ՌԴ-ից ՏՏ ոլորտի աշխատակիցների և ընկերությունների</w:t>
      </w:r>
      <w:r w:rsidR="008A2015" w:rsidRPr="00A857DF">
        <w:rPr>
          <w:rFonts w:ascii="GHEA Grapalat" w:eastAsia="GHEA Grapalat" w:hAnsi="GHEA Grapalat" w:cs="GHEA Grapalat"/>
          <w:sz w:val="22"/>
          <w:szCs w:val="22"/>
          <w:lang w:val="hy-AM"/>
        </w:rPr>
        <w:t>՝</w:t>
      </w:r>
      <w:r w:rsidRPr="00A857DF">
        <w:rPr>
          <w:rFonts w:ascii="GHEA Grapalat" w:eastAsia="GHEA Grapalat" w:hAnsi="GHEA Grapalat" w:cs="GHEA Grapalat"/>
          <w:sz w:val="22"/>
          <w:szCs w:val="22"/>
          <w:lang w:val="hy-AM"/>
        </w:rPr>
        <w:t xml:space="preserve"> ՀՀ տեղափոխմամբ, ինչպես նաև դեպի Հայաստան միջազգային զբոսաշրջության բարձր աճի տեմպերով: </w:t>
      </w:r>
    </w:p>
    <w:p w:rsidR="00FC3545" w:rsidRPr="00A857DF" w:rsidRDefault="00FC3545" w:rsidP="00FC3545">
      <w:pPr>
        <w:spacing w:line="336" w:lineRule="auto"/>
        <w:ind w:firstLine="547"/>
        <w:jc w:val="both"/>
        <w:rPr>
          <w:rFonts w:ascii="GHEA Grapalat" w:eastAsia="GHEA Grapalat" w:hAnsi="GHEA Grapalat" w:cs="GHEA Grapalat"/>
          <w:sz w:val="22"/>
          <w:szCs w:val="22"/>
          <w:lang w:val="hy-AM"/>
        </w:rPr>
      </w:pPr>
      <w:r w:rsidRPr="00A857DF">
        <w:rPr>
          <w:rFonts w:ascii="GHEA Grapalat" w:eastAsia="GHEA Grapalat" w:hAnsi="GHEA Grapalat" w:cs="GHEA Grapalat"/>
          <w:sz w:val="22"/>
          <w:szCs w:val="22"/>
          <w:lang w:val="hy-AM"/>
        </w:rPr>
        <w:t xml:space="preserve">Առևտրի 23.6% աճը հիմնականում պայմանավորված է եղել մեծածախ առևտրի աճով (նպաստումը՝ 19.2 տոկոսային կետ)։ Մեծածախ առևտրի բարձր աճը պայմանավորված է տնտեսության մյուս հատվածներում առկա բարձր պահանջարկով, ինչպես նաև ապրանքների պաշարների կուտակմամբ: </w:t>
      </w:r>
      <w:r w:rsidRPr="00A857DF">
        <w:rPr>
          <w:rFonts w:ascii="GHEA Grapalat" w:hAnsi="GHEA Grapalat" w:cs="GHEA Grapalat"/>
          <w:sz w:val="22"/>
          <w:szCs w:val="22"/>
          <w:lang w:val="hy-AM"/>
        </w:rPr>
        <w:t>Ա</w:t>
      </w:r>
      <w:r w:rsidRPr="00A857DF">
        <w:rPr>
          <w:rFonts w:ascii="GHEA Grapalat" w:eastAsia="GHEA Grapalat" w:hAnsi="GHEA Grapalat" w:cs="GHEA Grapalat"/>
          <w:sz w:val="22"/>
          <w:szCs w:val="22"/>
          <w:lang w:val="hy-AM"/>
        </w:rPr>
        <w:t xml:space="preserve">ռևտրի և ծառայությունների </w:t>
      </w:r>
      <w:r w:rsidRPr="00A857DF">
        <w:rPr>
          <w:rFonts w:ascii="GHEA Grapalat" w:hAnsi="GHEA Grapalat" w:cs="GHEA Grapalat"/>
          <w:sz w:val="22"/>
          <w:szCs w:val="22"/>
          <w:lang w:val="hy-AM"/>
        </w:rPr>
        <w:t>աճն ուղեկցվել է ներքին (մասնավորապես՝ մասնավոր սպառման) և արտաքին (մասնավորապես՝ ծառայությունների արտահանման) պահանջարկի</w:t>
      </w:r>
      <w:r w:rsidR="008B7237" w:rsidRPr="00A857DF">
        <w:rPr>
          <w:rFonts w:ascii="GHEA Grapalat" w:hAnsi="GHEA Grapalat" w:cs="GHEA Grapalat"/>
          <w:sz w:val="22"/>
          <w:szCs w:val="22"/>
          <w:lang w:val="hy-AM"/>
        </w:rPr>
        <w:t xml:space="preserve"> </w:t>
      </w:r>
      <w:r w:rsidRPr="00A857DF">
        <w:rPr>
          <w:rFonts w:ascii="GHEA Grapalat" w:hAnsi="GHEA Grapalat" w:cs="GHEA Grapalat"/>
          <w:sz w:val="22"/>
          <w:szCs w:val="22"/>
          <w:lang w:val="hy-AM"/>
        </w:rPr>
        <w:t xml:space="preserve">աճերով: </w:t>
      </w:r>
    </w:p>
    <w:p w:rsidR="00FC3545" w:rsidRPr="00A857DF" w:rsidRDefault="00FC3545" w:rsidP="00FC3545">
      <w:pPr>
        <w:spacing w:line="360" w:lineRule="auto"/>
        <w:ind w:firstLine="567"/>
        <w:jc w:val="both"/>
        <w:rPr>
          <w:rFonts w:ascii="GHEA Grapalat" w:eastAsia="GHEA Grapalat" w:hAnsi="GHEA Grapalat" w:cs="GHEA Grapalat"/>
          <w:sz w:val="22"/>
          <w:szCs w:val="22"/>
          <w:lang w:val="hy-AM"/>
        </w:rPr>
      </w:pPr>
      <w:r w:rsidRPr="00A857DF">
        <w:rPr>
          <w:rFonts w:ascii="GHEA Grapalat" w:eastAsia="GHEA Grapalat" w:hAnsi="GHEA Grapalat" w:cs="GHEA Grapalat"/>
          <w:bCs/>
          <w:sz w:val="22"/>
          <w:szCs w:val="22"/>
          <w:lang w:val="hy-AM"/>
        </w:rPr>
        <w:t>Հաշվետու ժամանակահատվածում բեռնափոխադրումների և ուղևորափոխադրումների ծավալներն աճել են:</w:t>
      </w:r>
      <w:r w:rsidRPr="00A857DF">
        <w:rPr>
          <w:rFonts w:ascii="GHEA Grapalat" w:eastAsia="GHEA Grapalat" w:hAnsi="GHEA Grapalat" w:cs="GHEA Grapalat"/>
          <w:sz w:val="22"/>
          <w:szCs w:val="22"/>
          <w:lang w:val="hy-AM"/>
        </w:rPr>
        <w:t xml:space="preserve"> Բեռնափոխադրումների ծավալի 7.3% աճը հիմնականում պայմանավորված է եղել ավտոմոբիլային բեռնափոխադրումների աճով (նպաստումը՝ 9</w:t>
      </w:r>
      <w:r w:rsidRPr="00A857DF">
        <w:rPr>
          <w:rFonts w:ascii="Cambria Math" w:eastAsia="GHEA Grapalat" w:hAnsi="Cambria Math" w:cs="Cambria Math"/>
          <w:sz w:val="22"/>
          <w:szCs w:val="22"/>
          <w:lang w:val="hy-AM"/>
        </w:rPr>
        <w:t>․</w:t>
      </w:r>
      <w:r w:rsidRPr="00A857DF">
        <w:rPr>
          <w:rFonts w:ascii="GHEA Grapalat" w:eastAsia="GHEA Grapalat" w:hAnsi="GHEA Grapalat" w:cs="GHEA Grapalat"/>
          <w:sz w:val="22"/>
          <w:szCs w:val="22"/>
          <w:lang w:val="hy-AM"/>
        </w:rPr>
        <w:t>7 տոկոսային կետ): Վերջինս իր հերթին պայմանավորված է եղել ինչպես ներկրման, այնպես էլ ներհանրապետական բեռնափոխադրումների աճով։ Ուղևորափոխադրումների ծավալն աճել է 23.4%-ով՝ հիմնականում պայմանավորված ավտոմոբիլային ուղևորափոխադրումների աճով (նպաստումը՝ 19.7 տոկոսային կետ</w:t>
      </w:r>
      <w:r w:rsidR="00E45062" w:rsidRPr="00A857DF">
        <w:rPr>
          <w:rFonts w:ascii="GHEA Grapalat" w:eastAsia="GHEA Grapalat" w:hAnsi="GHEA Grapalat" w:cs="GHEA Grapalat"/>
          <w:sz w:val="22"/>
          <w:szCs w:val="22"/>
          <w:lang w:val="hy-AM"/>
        </w:rPr>
        <w:t>):</w:t>
      </w:r>
    </w:p>
    <w:p w:rsidR="00FC3545" w:rsidRPr="00A857DF" w:rsidRDefault="00FC3545" w:rsidP="00FC3545">
      <w:pPr>
        <w:spacing w:line="360" w:lineRule="auto"/>
        <w:ind w:firstLine="567"/>
        <w:jc w:val="both"/>
        <w:rPr>
          <w:rFonts w:ascii="GHEA Grapalat" w:eastAsia="GHEA Grapalat" w:hAnsi="GHEA Grapalat" w:cs="GHEA Grapalat"/>
          <w:sz w:val="22"/>
          <w:szCs w:val="22"/>
          <w:lang w:val="hy-AM"/>
        </w:rPr>
      </w:pPr>
      <w:r w:rsidRPr="00A857DF">
        <w:rPr>
          <w:rFonts w:ascii="GHEA Grapalat" w:eastAsia="GHEA Grapalat" w:hAnsi="GHEA Grapalat" w:cs="GHEA Grapalat"/>
          <w:sz w:val="22"/>
          <w:szCs w:val="22"/>
          <w:lang w:val="hy-AM"/>
        </w:rPr>
        <w:t>Զբոսաշրջիկների այցելությունների բարձր աճն (2023</w:t>
      </w:r>
      <w:r w:rsidR="0014126A" w:rsidRPr="00A857DF">
        <w:rPr>
          <w:rFonts w:ascii="GHEA Grapalat" w:eastAsia="GHEA Grapalat" w:hAnsi="GHEA Grapalat" w:cs="GHEA Grapalat"/>
          <w:sz w:val="22"/>
          <w:szCs w:val="22"/>
          <w:lang w:val="hy-AM"/>
        </w:rPr>
        <w:t xml:space="preserve"> թվականի</w:t>
      </w:r>
      <w:r w:rsidRPr="00A857DF">
        <w:rPr>
          <w:rFonts w:ascii="GHEA Grapalat" w:eastAsia="GHEA Grapalat" w:hAnsi="GHEA Grapalat" w:cs="GHEA Grapalat"/>
          <w:sz w:val="22"/>
          <w:szCs w:val="22"/>
          <w:lang w:val="hy-AM"/>
        </w:rPr>
        <w:t xml:space="preserve"> առաջին կիսամյակում նախորդ տարվա նույն ժամանակահատվածի նկատմամբ 70.3%-ով) իր հերթին դրական ազդեցություն է ունեցել ծառայությունների որոշ տեսակների, առևտրի, ինչպես նաև ուղևորափոխադրումների վրա:</w:t>
      </w: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gridCol w:w="5002"/>
      </w:tblGrid>
      <w:tr w:rsidR="00FC3545" w:rsidRPr="00E57C0E" w:rsidTr="00AA791E">
        <w:trPr>
          <w:trHeight w:val="3846"/>
        </w:trPr>
        <w:tc>
          <w:tcPr>
            <w:tcW w:w="5237" w:type="dxa"/>
          </w:tcPr>
          <w:p w:rsidR="00FC3545" w:rsidRPr="00E57C0E" w:rsidRDefault="00FC3545" w:rsidP="00AA791E">
            <w:pPr>
              <w:tabs>
                <w:tab w:val="right" w:pos="0"/>
              </w:tabs>
              <w:spacing w:before="120" w:after="60" w:line="240" w:lineRule="auto"/>
              <w:contextualSpacing/>
              <w:rPr>
                <w:rFonts w:ascii="GHEA Grapalat" w:hAnsi="GHEA Grapalat" w:cs="Sylfaen"/>
                <w:i/>
                <w:sz w:val="16"/>
                <w:szCs w:val="16"/>
                <w:lang w:val="hy-AM"/>
              </w:rPr>
            </w:pPr>
            <w:r w:rsidRPr="00E57C0E">
              <w:rPr>
                <w:rFonts w:ascii="GHEA Grapalat" w:hAnsi="GHEA Grapalat" w:cs="Sylfaen"/>
                <w:b/>
                <w:bCs/>
                <w:i/>
                <w:sz w:val="16"/>
                <w:szCs w:val="16"/>
                <w:lang w:val="hy-AM"/>
              </w:rPr>
              <w:lastRenderedPageBreak/>
              <w:t>Գծապատկեր 4.</w:t>
            </w:r>
            <w:r w:rsidRPr="00E57C0E">
              <w:rPr>
                <w:rFonts w:ascii="GHEA Grapalat" w:hAnsi="GHEA Grapalat" w:cs="Sylfaen"/>
                <w:i/>
                <w:sz w:val="16"/>
                <w:szCs w:val="16"/>
                <w:lang w:val="hy-AM"/>
              </w:rPr>
              <w:t xml:space="preserve"> ՏԱՑ և տնտեսության ճյուղերի իրական աճերը նախորդ տարվա նույն ժամանակահատվածի նկատմամբ (%) </w:t>
            </w:r>
          </w:p>
          <w:p w:rsidR="00FC3545" w:rsidRPr="00E57C0E" w:rsidRDefault="00FC3545" w:rsidP="00AA791E">
            <w:pPr>
              <w:tabs>
                <w:tab w:val="right" w:pos="0"/>
              </w:tabs>
              <w:spacing w:before="120" w:after="60" w:line="240" w:lineRule="auto"/>
              <w:contextualSpacing/>
              <w:rPr>
                <w:rFonts w:ascii="GHEA Grapalat" w:hAnsi="GHEA Grapalat"/>
                <w:sz w:val="16"/>
                <w:szCs w:val="16"/>
                <w:lang w:val="hy-AM"/>
              </w:rPr>
            </w:pPr>
            <w:r w:rsidRPr="00E57C0E">
              <w:rPr>
                <w:rFonts w:ascii="GHEA Grapalat" w:hAnsi="GHEA Grapalat"/>
                <w:noProof/>
              </w:rPr>
              <w:drawing>
                <wp:inline distT="0" distB="0" distL="0" distR="0" wp14:anchorId="535FACBF" wp14:editId="1872F5FA">
                  <wp:extent cx="3064510" cy="1857121"/>
                  <wp:effectExtent l="0" t="0" r="2540" b="1016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3545" w:rsidRPr="00E57C0E" w:rsidRDefault="00FC3545" w:rsidP="00AA791E">
            <w:pPr>
              <w:tabs>
                <w:tab w:val="right" w:pos="0"/>
              </w:tabs>
              <w:spacing w:before="120" w:after="60" w:line="360" w:lineRule="auto"/>
              <w:contextualSpacing/>
              <w:jc w:val="both"/>
              <w:rPr>
                <w:rFonts w:ascii="GHEA Grapalat" w:hAnsi="GHEA Grapalat" w:cs="Sylfaen"/>
                <w:i/>
                <w:sz w:val="16"/>
                <w:szCs w:val="16"/>
                <w:lang w:val="hy-AM"/>
              </w:rPr>
            </w:pPr>
            <w:r w:rsidRPr="00E57C0E">
              <w:rPr>
                <w:rFonts w:ascii="GHEA Grapalat" w:hAnsi="GHEA Grapalat"/>
                <w:i/>
                <w:sz w:val="16"/>
                <w:szCs w:val="16"/>
                <w:lang w:val="hy-AM"/>
              </w:rPr>
              <w:t>Աղբյուրը՝ ՀՀ ՎԿ</w:t>
            </w:r>
          </w:p>
        </w:tc>
        <w:tc>
          <w:tcPr>
            <w:tcW w:w="5008" w:type="dxa"/>
          </w:tcPr>
          <w:p w:rsidR="00FC3545" w:rsidRPr="00E57C0E" w:rsidRDefault="00FC3545" w:rsidP="00AA791E">
            <w:pPr>
              <w:tabs>
                <w:tab w:val="right" w:pos="0"/>
              </w:tabs>
              <w:spacing w:before="120" w:after="0" w:line="240" w:lineRule="auto"/>
              <w:contextualSpacing/>
              <w:rPr>
                <w:rFonts w:ascii="GHEA Grapalat" w:hAnsi="GHEA Grapalat" w:cs="Sylfaen"/>
                <w:i/>
                <w:sz w:val="16"/>
                <w:szCs w:val="16"/>
                <w:lang w:val="hy-AM"/>
              </w:rPr>
            </w:pPr>
            <w:r w:rsidRPr="00E57C0E">
              <w:rPr>
                <w:rFonts w:ascii="GHEA Grapalat" w:hAnsi="GHEA Grapalat"/>
                <w:noProof/>
                <w:sz w:val="16"/>
                <w:szCs w:val="16"/>
              </w:rPr>
              <w:drawing>
                <wp:anchor distT="0" distB="0" distL="114300" distR="114300" simplePos="0" relativeHeight="251641856" behindDoc="1" locked="0" layoutInCell="1" allowOverlap="1" wp14:anchorId="0D534274" wp14:editId="4E290C52">
                  <wp:simplePos x="0" y="0"/>
                  <wp:positionH relativeFrom="column">
                    <wp:posOffset>-6350</wp:posOffset>
                  </wp:positionH>
                  <wp:positionV relativeFrom="paragraph">
                    <wp:posOffset>297180</wp:posOffset>
                  </wp:positionV>
                  <wp:extent cx="3020695" cy="1840230"/>
                  <wp:effectExtent l="0" t="0" r="8255" b="7620"/>
                  <wp:wrapTight wrapText="bothSides">
                    <wp:wrapPolygon edited="0">
                      <wp:start x="0" y="0"/>
                      <wp:lineTo x="0" y="21466"/>
                      <wp:lineTo x="21523" y="21466"/>
                      <wp:lineTo x="21523" y="0"/>
                      <wp:lineTo x="0" y="0"/>
                    </wp:wrapPolygon>
                  </wp:wrapTight>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Pr="00E57C0E">
              <w:rPr>
                <w:rFonts w:ascii="GHEA Grapalat" w:hAnsi="GHEA Grapalat" w:cs="Sylfaen"/>
                <w:b/>
                <w:i/>
                <w:sz w:val="16"/>
                <w:szCs w:val="16"/>
                <w:lang w:val="hy-AM"/>
              </w:rPr>
              <w:t>Գծապատկեր 5.</w:t>
            </w:r>
            <w:r w:rsidRPr="00E57C0E">
              <w:rPr>
                <w:rFonts w:ascii="GHEA Grapalat" w:hAnsi="GHEA Grapalat" w:cs="Sylfaen"/>
                <w:i/>
                <w:sz w:val="16"/>
                <w:szCs w:val="16"/>
                <w:lang w:val="hy-AM"/>
              </w:rPr>
              <w:t xml:space="preserve"> ՏԱՑ և տնտեսության ճյուղերի իրական աճերը նախորդ տարվա նույն ամսվա նկատմամբ (%)</w:t>
            </w:r>
          </w:p>
          <w:p w:rsidR="00FC3545" w:rsidRPr="00E57C0E" w:rsidRDefault="00FC3545" w:rsidP="00AA791E">
            <w:pPr>
              <w:spacing w:after="60" w:line="240" w:lineRule="auto"/>
              <w:jc w:val="both"/>
              <w:rPr>
                <w:rFonts w:ascii="GHEA Grapalat" w:hAnsi="GHEA Grapalat"/>
                <w:i/>
                <w:sz w:val="16"/>
                <w:szCs w:val="16"/>
                <w:lang w:val="hy-AM"/>
              </w:rPr>
            </w:pPr>
            <w:r w:rsidRPr="00E57C0E">
              <w:rPr>
                <w:rFonts w:ascii="GHEA Grapalat" w:hAnsi="GHEA Grapalat"/>
                <w:i/>
                <w:sz w:val="16"/>
                <w:szCs w:val="16"/>
                <w:lang w:val="hy-AM"/>
              </w:rPr>
              <w:t>Աղբյուրը՝ ՀՀ ՎԿ</w:t>
            </w:r>
            <w:r w:rsidRPr="00E57C0E" w:rsidDel="00DA0563">
              <w:rPr>
                <w:rFonts w:ascii="GHEA Grapalat" w:hAnsi="GHEA Grapalat"/>
                <w:i/>
                <w:sz w:val="16"/>
                <w:szCs w:val="16"/>
                <w:lang w:val="hy-AM"/>
              </w:rPr>
              <w:t xml:space="preserve"> </w:t>
            </w:r>
          </w:p>
        </w:tc>
      </w:tr>
      <w:tr w:rsidR="00FC3545" w:rsidRPr="003E0B7E" w:rsidTr="00AA791E">
        <w:trPr>
          <w:trHeight w:val="3671"/>
        </w:trPr>
        <w:tc>
          <w:tcPr>
            <w:tcW w:w="5237" w:type="dxa"/>
          </w:tcPr>
          <w:p w:rsidR="00FC3545" w:rsidRPr="00E57C0E" w:rsidRDefault="00FC3545" w:rsidP="00AA791E">
            <w:pPr>
              <w:tabs>
                <w:tab w:val="right" w:pos="0"/>
              </w:tabs>
              <w:spacing w:before="120" w:after="60" w:line="240" w:lineRule="auto"/>
              <w:contextualSpacing/>
              <w:rPr>
                <w:rFonts w:ascii="GHEA Grapalat" w:hAnsi="GHEA Grapalat" w:cs="Sylfaen"/>
                <w:b/>
                <w:bCs/>
                <w:i/>
                <w:sz w:val="6"/>
                <w:szCs w:val="6"/>
                <w:lang w:val="hy-AM"/>
              </w:rPr>
            </w:pPr>
          </w:p>
          <w:p w:rsidR="00FC3545" w:rsidRPr="00E57C0E" w:rsidRDefault="00FC3545" w:rsidP="00AA791E">
            <w:pPr>
              <w:tabs>
                <w:tab w:val="right" w:pos="0"/>
              </w:tabs>
              <w:spacing w:before="120" w:after="60" w:line="240" w:lineRule="auto"/>
              <w:contextualSpacing/>
              <w:rPr>
                <w:rFonts w:ascii="GHEA Grapalat" w:hAnsi="GHEA Grapalat" w:cs="Sylfaen"/>
                <w:i/>
                <w:sz w:val="16"/>
                <w:szCs w:val="16"/>
                <w:lang w:val="hy-AM"/>
              </w:rPr>
            </w:pPr>
            <w:r w:rsidRPr="00E57C0E">
              <w:rPr>
                <w:rFonts w:ascii="GHEA Grapalat" w:hAnsi="GHEA Grapalat" w:cs="Sylfaen"/>
                <w:b/>
                <w:bCs/>
                <w:i/>
                <w:sz w:val="16"/>
                <w:szCs w:val="16"/>
                <w:lang w:val="hy-AM"/>
              </w:rPr>
              <w:t>Գծապատկեր 6.</w:t>
            </w:r>
            <w:r w:rsidRPr="00E57C0E">
              <w:rPr>
                <w:rFonts w:ascii="GHEA Grapalat" w:hAnsi="GHEA Grapalat" w:cs="Sylfaen"/>
                <w:i/>
                <w:sz w:val="16"/>
                <w:szCs w:val="16"/>
                <w:lang w:val="hy-AM"/>
              </w:rPr>
              <w:t xml:space="preserve"> Տնտեսության ճյուղերի նպաստումները ՏԱՑ-ին (տ.կ.)</w:t>
            </w:r>
            <w:r w:rsidRPr="00E57C0E">
              <w:rPr>
                <w:rFonts w:ascii="GHEA Grapalat" w:hAnsi="GHEA Grapalat" w:cs="Sylfaen"/>
                <w:i/>
                <w:sz w:val="16"/>
                <w:szCs w:val="16"/>
                <w:vertAlign w:val="superscript"/>
                <w:lang w:val="hy-AM"/>
              </w:rPr>
              <w:footnoteReference w:id="12"/>
            </w:r>
            <w:r w:rsidRPr="00E57C0E">
              <w:rPr>
                <w:rFonts w:ascii="GHEA Grapalat" w:hAnsi="GHEA Grapalat" w:cs="Sylfaen"/>
                <w:i/>
                <w:sz w:val="16"/>
                <w:szCs w:val="16"/>
                <w:lang w:val="hy-AM"/>
              </w:rPr>
              <w:t xml:space="preserve"> </w:t>
            </w:r>
          </w:p>
          <w:p w:rsidR="00FC3545" w:rsidRPr="00E57C0E" w:rsidRDefault="00FC3545" w:rsidP="00AA791E">
            <w:pPr>
              <w:tabs>
                <w:tab w:val="right" w:pos="0"/>
              </w:tabs>
              <w:spacing w:before="120" w:after="60" w:line="240" w:lineRule="auto"/>
              <w:contextualSpacing/>
              <w:rPr>
                <w:rFonts w:ascii="GHEA Grapalat" w:hAnsi="GHEA Grapalat" w:cs="Sylfaen"/>
                <w:i/>
                <w:sz w:val="16"/>
                <w:szCs w:val="16"/>
                <w:lang w:val="hy-AM"/>
              </w:rPr>
            </w:pPr>
            <w:r w:rsidRPr="00E57C0E">
              <w:rPr>
                <w:rFonts w:ascii="GHEA Grapalat" w:hAnsi="GHEA Grapalat"/>
                <w:i/>
                <w:noProof/>
                <w:sz w:val="16"/>
                <w:szCs w:val="16"/>
              </w:rPr>
              <w:drawing>
                <wp:inline distT="0" distB="0" distL="0" distR="0" wp14:anchorId="17CA77C3" wp14:editId="4D6142BD">
                  <wp:extent cx="3095625" cy="1857375"/>
                  <wp:effectExtent l="0" t="0" r="9525" b="95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3545" w:rsidRPr="00E57C0E" w:rsidRDefault="00FC3545" w:rsidP="00AA791E">
            <w:pPr>
              <w:tabs>
                <w:tab w:val="right" w:pos="0"/>
              </w:tabs>
              <w:spacing w:before="120" w:after="60" w:line="360" w:lineRule="auto"/>
              <w:contextualSpacing/>
              <w:jc w:val="both"/>
              <w:rPr>
                <w:rFonts w:ascii="GHEA Grapalat" w:hAnsi="GHEA Grapalat" w:cs="Sylfaen"/>
                <w:lang w:val="hy-AM"/>
              </w:rPr>
            </w:pPr>
            <w:r w:rsidRPr="00E57C0E">
              <w:rPr>
                <w:rFonts w:ascii="GHEA Grapalat" w:hAnsi="GHEA Grapalat"/>
                <w:i/>
                <w:sz w:val="16"/>
                <w:szCs w:val="16"/>
                <w:lang w:val="hy-AM"/>
              </w:rPr>
              <w:t>Աղբյուրը՝ ՀՀ ՎԿ, ՀՀ ՖՆ հաշվարկներ</w:t>
            </w:r>
            <w:r w:rsidRPr="00E57C0E">
              <w:rPr>
                <w:rFonts w:ascii="GHEA Grapalat" w:hAnsi="GHEA Grapalat"/>
                <w:lang w:val="hy-AM"/>
              </w:rPr>
              <w:t xml:space="preserve"> </w:t>
            </w:r>
          </w:p>
        </w:tc>
        <w:tc>
          <w:tcPr>
            <w:tcW w:w="5008" w:type="dxa"/>
          </w:tcPr>
          <w:p w:rsidR="00FC3545" w:rsidRPr="00E57C0E" w:rsidRDefault="00FC3545" w:rsidP="00AA791E">
            <w:pPr>
              <w:tabs>
                <w:tab w:val="right" w:pos="0"/>
              </w:tabs>
              <w:spacing w:before="120" w:after="60" w:line="312" w:lineRule="auto"/>
              <w:contextualSpacing/>
              <w:jc w:val="both"/>
              <w:rPr>
                <w:rFonts w:ascii="GHEA Grapalat" w:hAnsi="GHEA Grapalat" w:cs="Sylfaen"/>
                <w:b/>
                <w:i/>
                <w:sz w:val="4"/>
                <w:szCs w:val="4"/>
                <w:lang w:val="hy-AM"/>
              </w:rPr>
            </w:pPr>
          </w:p>
          <w:p w:rsidR="00FC3545" w:rsidRPr="00E57C0E" w:rsidRDefault="00FC3545" w:rsidP="00AA791E">
            <w:pPr>
              <w:tabs>
                <w:tab w:val="right" w:pos="0"/>
              </w:tabs>
              <w:spacing w:before="120" w:after="60" w:line="240" w:lineRule="auto"/>
              <w:contextualSpacing/>
              <w:rPr>
                <w:rFonts w:ascii="GHEA Grapalat" w:hAnsi="GHEA Grapalat" w:cs="Sylfaen"/>
                <w:i/>
                <w:sz w:val="16"/>
                <w:szCs w:val="16"/>
                <w:lang w:val="hy-AM"/>
              </w:rPr>
            </w:pPr>
            <w:r w:rsidRPr="00E57C0E">
              <w:rPr>
                <w:rFonts w:ascii="GHEA Grapalat" w:hAnsi="GHEA Grapalat" w:cs="Sylfaen"/>
                <w:b/>
                <w:i/>
                <w:sz w:val="16"/>
                <w:szCs w:val="16"/>
                <w:lang w:val="hy-AM"/>
              </w:rPr>
              <w:t>Գծապատկեր 7.</w:t>
            </w:r>
            <w:r w:rsidRPr="00E57C0E">
              <w:rPr>
                <w:rFonts w:ascii="GHEA Grapalat" w:hAnsi="GHEA Grapalat" w:cs="Sylfaen"/>
                <w:i/>
                <w:sz w:val="16"/>
                <w:szCs w:val="16"/>
                <w:lang w:val="hy-AM"/>
              </w:rPr>
              <w:t xml:space="preserve"> Տնտեսության ճյուղերի նպաստումները ՏԱՑ-ին </w:t>
            </w:r>
            <w:r w:rsidRPr="00E57C0E">
              <w:rPr>
                <w:rFonts w:ascii="GHEA Grapalat" w:hAnsi="GHEA Grapalat" w:cs="Sylfaen"/>
                <w:i/>
                <w:sz w:val="16"/>
                <w:szCs w:val="18"/>
                <w:lang w:val="hy-AM"/>
              </w:rPr>
              <w:t>(տ.կ.)</w:t>
            </w:r>
            <w:r w:rsidRPr="00E57C0E">
              <w:rPr>
                <w:rFonts w:ascii="GHEA Grapalat" w:hAnsi="GHEA Grapalat" w:cs="Sylfaen"/>
                <w:i/>
                <w:sz w:val="16"/>
                <w:szCs w:val="16"/>
                <w:vertAlign w:val="superscript"/>
                <w:lang w:val="hy-AM"/>
              </w:rPr>
              <w:t xml:space="preserve"> </w:t>
            </w:r>
          </w:p>
          <w:p w:rsidR="00FC3545" w:rsidRPr="00E57C0E" w:rsidRDefault="00FC3545" w:rsidP="00AA791E">
            <w:pPr>
              <w:tabs>
                <w:tab w:val="right" w:pos="0"/>
              </w:tabs>
              <w:spacing w:before="120" w:after="60" w:line="240" w:lineRule="auto"/>
              <w:contextualSpacing/>
              <w:rPr>
                <w:rFonts w:ascii="GHEA Grapalat" w:hAnsi="GHEA Grapalat"/>
                <w:lang w:val="hy-AM"/>
              </w:rPr>
            </w:pPr>
            <w:r w:rsidRPr="00E57C0E">
              <w:rPr>
                <w:rFonts w:ascii="GHEA Grapalat" w:hAnsi="GHEA Grapalat"/>
                <w:noProof/>
              </w:rPr>
              <w:drawing>
                <wp:inline distT="0" distB="0" distL="0" distR="0" wp14:anchorId="274A30C4" wp14:editId="643D9C74">
                  <wp:extent cx="2963545" cy="1865327"/>
                  <wp:effectExtent l="0" t="0" r="8255" b="190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3545" w:rsidRPr="00E57C0E" w:rsidRDefault="00FC3545" w:rsidP="00AA791E">
            <w:pPr>
              <w:spacing w:before="40" w:after="60" w:line="312" w:lineRule="auto"/>
              <w:jc w:val="both"/>
              <w:rPr>
                <w:rFonts w:ascii="GHEA Grapalat" w:hAnsi="GHEA Grapalat"/>
                <w:i/>
                <w:sz w:val="16"/>
                <w:szCs w:val="16"/>
                <w:lang w:val="hy-AM"/>
              </w:rPr>
            </w:pPr>
            <w:r w:rsidRPr="00E57C0E">
              <w:rPr>
                <w:rFonts w:ascii="GHEA Grapalat" w:hAnsi="GHEA Grapalat"/>
                <w:i/>
                <w:sz w:val="16"/>
                <w:szCs w:val="16"/>
                <w:lang w:val="hy-AM"/>
              </w:rPr>
              <w:t>Աղբյուրը՝ ՀՀ ՎԿ, ՀՀ ՖՆ հաշվարկներ</w:t>
            </w:r>
          </w:p>
        </w:tc>
      </w:tr>
    </w:tbl>
    <w:p w:rsidR="00F5059A" w:rsidRPr="00A857DF" w:rsidRDefault="00F5059A" w:rsidP="00FC3545">
      <w:pPr>
        <w:spacing w:line="360" w:lineRule="auto"/>
        <w:ind w:firstLine="567"/>
        <w:jc w:val="both"/>
        <w:rPr>
          <w:rFonts w:ascii="GHEA Grapalat" w:eastAsia="GHEA Grapalat" w:hAnsi="GHEA Grapalat" w:cs="GHEA Grapalat"/>
          <w:sz w:val="22"/>
          <w:szCs w:val="22"/>
          <w:lang w:val="hy-AM"/>
        </w:rPr>
      </w:pPr>
    </w:p>
    <w:p w:rsidR="00FC3545" w:rsidRPr="00A857DF" w:rsidRDefault="00FC3545" w:rsidP="00FC3545">
      <w:pPr>
        <w:spacing w:line="360" w:lineRule="auto"/>
        <w:ind w:firstLine="567"/>
        <w:jc w:val="both"/>
        <w:rPr>
          <w:rFonts w:ascii="GHEA Grapalat" w:eastAsia="GHEA Grapalat" w:hAnsi="GHEA Grapalat" w:cs="GHEA Grapalat"/>
          <w:sz w:val="22"/>
          <w:szCs w:val="22"/>
          <w:lang w:val="hy-AM"/>
        </w:rPr>
      </w:pPr>
      <w:r w:rsidRPr="00A857DF">
        <w:rPr>
          <w:rFonts w:ascii="GHEA Grapalat" w:eastAsia="GHEA Grapalat" w:hAnsi="GHEA Grapalat" w:cs="GHEA Grapalat"/>
          <w:b/>
          <w:i/>
          <w:sz w:val="22"/>
          <w:szCs w:val="22"/>
          <w:lang w:val="hy-AM"/>
        </w:rPr>
        <w:t>Համախառն պահանջարկ</w:t>
      </w:r>
      <w:r w:rsidRPr="00E57C0E">
        <w:rPr>
          <w:rFonts w:ascii="GHEA Grapalat" w:eastAsia="GHEA Grapalat" w:hAnsi="GHEA Grapalat" w:cs="GHEA Grapalat"/>
          <w:b/>
          <w:i/>
          <w:sz w:val="22"/>
          <w:szCs w:val="22"/>
          <w:vertAlign w:val="superscript"/>
        </w:rPr>
        <w:footnoteReference w:id="13"/>
      </w:r>
      <w:r w:rsidRPr="00A857DF">
        <w:rPr>
          <w:rFonts w:ascii="GHEA Grapalat" w:eastAsia="GHEA Grapalat" w:hAnsi="GHEA Grapalat" w:cs="GHEA Grapalat"/>
          <w:b/>
          <w:i/>
          <w:sz w:val="22"/>
          <w:szCs w:val="22"/>
          <w:lang w:val="hy-AM"/>
        </w:rPr>
        <w:t>:</w:t>
      </w:r>
      <w:r w:rsidRPr="00A857DF">
        <w:rPr>
          <w:rFonts w:ascii="GHEA Grapalat" w:eastAsia="GHEA Grapalat" w:hAnsi="GHEA Grapalat" w:cs="GHEA Grapalat"/>
          <w:b/>
          <w:sz w:val="22"/>
          <w:szCs w:val="22"/>
          <w:vertAlign w:val="superscript"/>
          <w:lang w:val="hy-AM"/>
        </w:rPr>
        <w:t xml:space="preserve"> </w:t>
      </w:r>
      <w:r w:rsidRPr="00A857DF">
        <w:rPr>
          <w:rFonts w:ascii="GHEA Grapalat" w:eastAsia="GHEA Grapalat" w:hAnsi="GHEA Grapalat" w:cs="GHEA Grapalat"/>
          <w:sz w:val="22"/>
          <w:szCs w:val="22"/>
          <w:lang w:val="hy-AM"/>
        </w:rPr>
        <w:t>Առաջին կիսամյակում տնտեսական ակտիվության աճն ուղեկցվել է ինչպես ներքին, այնպես էլ արտաքին պահանջարկի աճով:</w:t>
      </w:r>
    </w:p>
    <w:p w:rsidR="00FC3545" w:rsidRPr="00A857DF" w:rsidRDefault="00FC3545" w:rsidP="00FC3545">
      <w:pPr>
        <w:spacing w:line="336" w:lineRule="auto"/>
        <w:ind w:firstLine="547"/>
        <w:jc w:val="both"/>
        <w:rPr>
          <w:rFonts w:ascii="GHEA Grapalat" w:eastAsia="GHEA Grapalat" w:hAnsi="GHEA Grapalat" w:cs="GHEA Grapalat"/>
          <w:sz w:val="22"/>
          <w:szCs w:val="22"/>
          <w:lang w:val="hy-AM"/>
        </w:rPr>
      </w:pPr>
      <w:r w:rsidRPr="00A857DF">
        <w:rPr>
          <w:rFonts w:ascii="GHEA Grapalat" w:eastAsia="GHEA Grapalat" w:hAnsi="GHEA Grapalat" w:cs="GHEA Grapalat"/>
          <w:b/>
          <w:bCs/>
          <w:i/>
          <w:iCs/>
          <w:sz w:val="22"/>
          <w:szCs w:val="22"/>
          <w:lang w:val="hy-AM"/>
        </w:rPr>
        <w:t>Սպառում։</w:t>
      </w:r>
      <w:r w:rsidRPr="00A857DF">
        <w:rPr>
          <w:rFonts w:ascii="GHEA Grapalat" w:eastAsia="GHEA Grapalat" w:hAnsi="GHEA Grapalat" w:cs="GHEA Grapalat"/>
          <w:sz w:val="22"/>
          <w:szCs w:val="22"/>
          <w:lang w:val="hy-AM"/>
        </w:rPr>
        <w:t xml:space="preserve"> Հունվար-հունիսին սպառումն իրական արտահայտությամբ աճել է շուրջ 6.0%-ով՝ պայմանավորված մասնավոր հատվածի սպառման աճով, որին նպաստել են բնակչության տնօրինվող եկամտի աճը և սպառողական վարկավորման աճը: Մասնավոր սպառման աճին դրական նպաստում է ունեցել նաև դեպի Հայաստան զբոսաշրջության բարձր աճը: </w:t>
      </w:r>
    </w:p>
    <w:p w:rsidR="00FC3545" w:rsidRPr="00A857DF" w:rsidRDefault="00FC3545" w:rsidP="00F5059A">
      <w:pPr>
        <w:spacing w:line="360" w:lineRule="auto"/>
        <w:ind w:firstLine="567"/>
        <w:jc w:val="both"/>
        <w:rPr>
          <w:rFonts w:ascii="GHEA Grapalat" w:eastAsia="GHEA Grapalat" w:hAnsi="GHEA Grapalat" w:cs="GHEA Grapalat"/>
          <w:sz w:val="22"/>
          <w:szCs w:val="22"/>
          <w:lang w:val="hy-AM"/>
        </w:rPr>
      </w:pPr>
      <w:r w:rsidRPr="00A857DF">
        <w:rPr>
          <w:rFonts w:ascii="GHEA Grapalat" w:eastAsia="GHEA Grapalat" w:hAnsi="GHEA Grapalat" w:cs="GHEA Grapalat"/>
          <w:b/>
          <w:bCs/>
          <w:i/>
          <w:iCs/>
          <w:sz w:val="22"/>
          <w:szCs w:val="22"/>
          <w:lang w:val="hy-AM"/>
        </w:rPr>
        <w:t>Ներդրումներ։</w:t>
      </w:r>
      <w:r w:rsidRPr="00A857DF">
        <w:rPr>
          <w:rFonts w:ascii="GHEA Grapalat" w:eastAsia="GHEA Grapalat" w:hAnsi="GHEA Grapalat" w:cs="GHEA Grapalat"/>
          <w:sz w:val="22"/>
          <w:szCs w:val="22"/>
          <w:lang w:val="hy-AM"/>
        </w:rPr>
        <w:t xml:space="preserve"> Հունվար-հունիսին գնահատվում է կապիտալ ներդրումների</w:t>
      </w:r>
      <w:r w:rsidRPr="00E57C0E">
        <w:rPr>
          <w:rFonts w:ascii="GHEA Grapalat" w:eastAsia="GHEA Grapalat" w:hAnsi="GHEA Grapalat" w:cs="GHEA Grapalat"/>
          <w:sz w:val="22"/>
          <w:szCs w:val="22"/>
          <w:vertAlign w:val="superscript"/>
        </w:rPr>
        <w:footnoteReference w:id="14"/>
      </w:r>
      <w:r w:rsidRPr="00A857DF">
        <w:rPr>
          <w:rFonts w:ascii="GHEA Grapalat" w:eastAsia="GHEA Grapalat" w:hAnsi="GHEA Grapalat" w:cs="GHEA Grapalat"/>
          <w:sz w:val="22"/>
          <w:szCs w:val="22"/>
          <w:lang w:val="hy-AM"/>
        </w:rPr>
        <w:t xml:space="preserve"> նախորդ տարվա նույն ժամանակահատվածի նկատմամբ իրական արտահայտությամբ շուրջ 17.2% աճ՝ պայմանավորված մասնավոր ներդրումների աճով: Մասնավոր ներդրումների վրա դրական ազդեցություն են ունեցել </w:t>
      </w:r>
      <w:r w:rsidR="00BA01E2" w:rsidRPr="00A857DF">
        <w:rPr>
          <w:rFonts w:ascii="GHEA Grapalat" w:eastAsia="GHEA Grapalat" w:hAnsi="GHEA Grapalat" w:cs="GHEA Grapalat"/>
          <w:sz w:val="22"/>
          <w:szCs w:val="22"/>
          <w:lang w:val="hy-AM"/>
        </w:rPr>
        <w:t>հիպոտեկ</w:t>
      </w:r>
      <w:r w:rsidRPr="00A857DF">
        <w:rPr>
          <w:rFonts w:ascii="GHEA Grapalat" w:eastAsia="GHEA Grapalat" w:hAnsi="GHEA Grapalat" w:cs="GHEA Grapalat"/>
          <w:sz w:val="22"/>
          <w:szCs w:val="22"/>
          <w:lang w:val="hy-AM"/>
        </w:rPr>
        <w:t>ային և շինարարության վարկերի ծավալների աճը:</w:t>
      </w:r>
      <w:r w:rsidR="008B7237" w:rsidRPr="00A857DF">
        <w:rPr>
          <w:rFonts w:ascii="GHEA Grapalat" w:eastAsia="GHEA Grapalat" w:hAnsi="GHEA Grapalat" w:cs="GHEA Grapalat"/>
          <w:sz w:val="22"/>
          <w:szCs w:val="22"/>
          <w:lang w:val="hy-AM"/>
        </w:rPr>
        <w:t xml:space="preserve"> </w:t>
      </w:r>
    </w:p>
    <w:p w:rsidR="00FC3545" w:rsidRPr="00A857DF" w:rsidRDefault="00FC3545" w:rsidP="00F5059A">
      <w:pPr>
        <w:spacing w:line="360" w:lineRule="auto"/>
        <w:ind w:firstLine="567"/>
        <w:jc w:val="both"/>
        <w:rPr>
          <w:rFonts w:ascii="GHEA Grapalat" w:eastAsia="GHEA Grapalat" w:hAnsi="GHEA Grapalat" w:cs="GHEA Grapalat"/>
          <w:sz w:val="22"/>
          <w:szCs w:val="22"/>
          <w:lang w:val="hy-AM"/>
        </w:rPr>
      </w:pPr>
      <w:r w:rsidRPr="00A857DF">
        <w:rPr>
          <w:rFonts w:ascii="GHEA Grapalat" w:eastAsia="GHEA Grapalat" w:hAnsi="GHEA Grapalat" w:cs="GHEA Grapalat"/>
          <w:sz w:val="22"/>
          <w:szCs w:val="22"/>
          <w:lang w:val="hy-AM"/>
        </w:rPr>
        <w:lastRenderedPageBreak/>
        <w:t>Ներդրումների աճը հիմնականում պայմանավորված է եղել անշարժ գույքի հետ կապված գործունեության, մշակող արդյունաբերության, ինչպես նաև մշակույթ, զվարճություններ և հանգիստ ոլորտներում կատարված ներդրումների աճերով</w:t>
      </w:r>
      <w:r w:rsidRPr="00E57C0E">
        <w:rPr>
          <w:rFonts w:ascii="GHEA Grapalat" w:eastAsia="GHEA Grapalat" w:hAnsi="GHEA Grapalat" w:cs="GHEA Grapalat"/>
          <w:sz w:val="22"/>
          <w:szCs w:val="22"/>
          <w:vertAlign w:val="superscript"/>
        </w:rPr>
        <w:footnoteReference w:id="15"/>
      </w:r>
      <w:r w:rsidRPr="00A857DF">
        <w:rPr>
          <w:rFonts w:ascii="GHEA Grapalat" w:eastAsia="GHEA Grapalat" w:hAnsi="GHEA Grapalat" w:cs="GHEA Grapalat"/>
          <w:sz w:val="22"/>
          <w:szCs w:val="22"/>
          <w:lang w:val="hy-AM"/>
        </w:rPr>
        <w:t>:</w:t>
      </w:r>
    </w:p>
    <w:p w:rsidR="00FC3545" w:rsidRPr="00A857DF" w:rsidRDefault="00FC3545" w:rsidP="00F5059A">
      <w:pPr>
        <w:spacing w:line="360" w:lineRule="auto"/>
        <w:ind w:firstLine="567"/>
        <w:jc w:val="both"/>
        <w:rPr>
          <w:rFonts w:ascii="GHEA Grapalat" w:eastAsia="GHEA Grapalat" w:hAnsi="GHEA Grapalat" w:cs="GHEA Grapalat"/>
          <w:sz w:val="22"/>
          <w:szCs w:val="22"/>
          <w:lang w:val="hy-AM"/>
        </w:rPr>
      </w:pPr>
      <w:r w:rsidRPr="00A857DF">
        <w:rPr>
          <w:rFonts w:ascii="GHEA Grapalat" w:eastAsia="GHEA Grapalat" w:hAnsi="GHEA Grapalat" w:cs="GHEA Grapalat"/>
          <w:b/>
          <w:bCs/>
          <w:i/>
          <w:iCs/>
          <w:sz w:val="22"/>
          <w:szCs w:val="22"/>
          <w:lang w:val="hy-AM"/>
        </w:rPr>
        <w:t>Զուտ արտահանում։</w:t>
      </w:r>
      <w:r w:rsidRPr="00A857DF">
        <w:rPr>
          <w:rFonts w:ascii="GHEA Grapalat" w:eastAsia="GHEA Grapalat" w:hAnsi="GHEA Grapalat" w:cs="GHEA Grapalat"/>
          <w:sz w:val="22"/>
          <w:szCs w:val="22"/>
          <w:lang w:val="hy-AM"/>
        </w:rPr>
        <w:t xml:space="preserve"> Ապրանքների և ծառայությունների արտահանման իրական ծավալների աճը գնահատվում է մոտ 56.4%` պայմանավորված արտաքին պահանջարկի աճով (ՏՏ, զբոսաշրջիկներին մատուցված ծառայությունների աճ), ինչպես նաև ՌԴ ներմուծման շուկաների սահմանափակման արդյունքում՝ դեպի ՌԴ արտահանման ծավալների աճով: Հաշվետու ժամանակահատվածում ապրանքների և ծառայությունների ներմուծման ծավալները նախորդ տարվա նույն ժամանակահատվածի համեմատ աճել են շուրջ 48.0%-ով` պայմանավորված տնտեսական ակտիվության և ներքին պահանջարկի աճով: Ներմուծման աճին դրական նպաստում է ունեցել նաև արժևորված ազգային արժույթը:</w:t>
      </w:r>
    </w:p>
    <w:p w:rsidR="00664493" w:rsidRPr="00A857DF" w:rsidRDefault="00664493" w:rsidP="00F5059A">
      <w:pPr>
        <w:spacing w:line="360" w:lineRule="auto"/>
        <w:ind w:firstLine="567"/>
        <w:jc w:val="both"/>
        <w:rPr>
          <w:rFonts w:ascii="GHEA Grapalat" w:eastAsia="GHEA Grapalat" w:hAnsi="GHEA Grapalat" w:cs="GHEA Grapalat"/>
          <w:sz w:val="22"/>
          <w:szCs w:val="22"/>
          <w:lang w:val="hy-AM"/>
        </w:rPr>
      </w:pPr>
    </w:p>
    <w:p w:rsidR="00563135" w:rsidRPr="00E57C0E" w:rsidRDefault="00563135" w:rsidP="00563135">
      <w:pPr>
        <w:pStyle w:val="Heading6"/>
        <w:ind w:left="567"/>
        <w:rPr>
          <w:rFonts w:ascii="GHEA Grapalat" w:hAnsi="GHEA Grapalat"/>
          <w:b/>
          <w:sz w:val="22"/>
          <w:szCs w:val="22"/>
          <w:u w:val="none"/>
        </w:rPr>
      </w:pPr>
      <w:bookmarkStart w:id="21" w:name="_Toc71311883"/>
      <w:r w:rsidRPr="00E57C0E">
        <w:rPr>
          <w:rFonts w:ascii="GHEA Grapalat" w:hAnsi="GHEA Grapalat"/>
          <w:b/>
          <w:sz w:val="22"/>
          <w:szCs w:val="22"/>
          <w:u w:val="none"/>
        </w:rPr>
        <w:t>Աշխատանքի շուկա</w:t>
      </w:r>
      <w:bookmarkEnd w:id="21"/>
      <w:r w:rsidRPr="00E57C0E">
        <w:rPr>
          <w:rFonts w:ascii="GHEA Grapalat" w:hAnsi="GHEA Grapalat"/>
          <w:b/>
          <w:sz w:val="22"/>
          <w:szCs w:val="22"/>
          <w:u w:val="none"/>
        </w:rPr>
        <w:t xml:space="preserve"> </w:t>
      </w:r>
    </w:p>
    <w:p w:rsidR="00EB631E" w:rsidRPr="00A857DF" w:rsidRDefault="00EB631E" w:rsidP="00F636EE">
      <w:pPr>
        <w:spacing w:line="360" w:lineRule="auto"/>
        <w:ind w:firstLine="567"/>
        <w:jc w:val="both"/>
        <w:rPr>
          <w:rFonts w:ascii="GHEA Grapalat" w:eastAsia="GHEA Grapalat" w:hAnsi="GHEA Grapalat" w:cs="GHEA Grapalat"/>
          <w:sz w:val="22"/>
          <w:szCs w:val="22"/>
          <w:lang w:val="hy-AM"/>
        </w:rPr>
      </w:pPr>
      <w:r w:rsidRPr="00A857DF">
        <w:rPr>
          <w:rFonts w:ascii="GHEA Grapalat" w:eastAsia="GHEA Grapalat" w:hAnsi="GHEA Grapalat" w:cs="GHEA Grapalat"/>
          <w:sz w:val="22"/>
          <w:szCs w:val="22"/>
          <w:lang w:val="hy-AM"/>
        </w:rPr>
        <w:t>Տնտեսական բարձր ակտիվության պայմաններում հունվար-հունիսին վարձու աշխատողների թիվը և աշխատավարձեր</w:t>
      </w:r>
      <w:r w:rsidR="00F636EE" w:rsidRPr="00A857DF">
        <w:rPr>
          <w:rFonts w:ascii="GHEA Grapalat" w:eastAsia="GHEA Grapalat" w:hAnsi="GHEA Grapalat" w:cs="GHEA Grapalat"/>
          <w:sz w:val="22"/>
          <w:szCs w:val="22"/>
          <w:lang w:val="hy-AM"/>
        </w:rPr>
        <w:t>ն</w:t>
      </w:r>
      <w:r w:rsidRPr="00A857DF">
        <w:rPr>
          <w:rFonts w:ascii="GHEA Grapalat" w:eastAsia="GHEA Grapalat" w:hAnsi="GHEA Grapalat" w:cs="GHEA Grapalat"/>
          <w:sz w:val="22"/>
          <w:szCs w:val="22"/>
          <w:lang w:val="hy-AM"/>
        </w:rPr>
        <w:t xml:space="preserve"> աճել են։ 2023 թվականի հունվար-հունիսին պաշտոնապես գրանցված գործազուրկների միջին ամսական թիվը նախորդ տարվա նույն ժամանակահատվածի նկատմամբ նվազել է 16.3%-ով՝ կազմելով 46,764 մարդ: Միևնույն ժամանակ վարձու աշխատողների թիվն աճել է շուրջ 5.7%-ով՝ կազմելով 710,345</w:t>
      </w:r>
      <w:r w:rsidR="008B7237" w:rsidRPr="00A857DF">
        <w:rPr>
          <w:rFonts w:ascii="GHEA Grapalat" w:eastAsia="GHEA Grapalat" w:hAnsi="GHEA Grapalat" w:cs="GHEA Grapalat"/>
          <w:sz w:val="22"/>
          <w:szCs w:val="22"/>
          <w:lang w:val="hy-AM"/>
        </w:rPr>
        <w:t xml:space="preserve"> </w:t>
      </w:r>
      <w:r w:rsidRPr="00A857DF">
        <w:rPr>
          <w:rFonts w:ascii="GHEA Grapalat" w:eastAsia="GHEA Grapalat" w:hAnsi="GHEA Grapalat" w:cs="GHEA Grapalat"/>
          <w:sz w:val="22"/>
          <w:szCs w:val="22"/>
          <w:lang w:val="hy-AM"/>
        </w:rPr>
        <w:t>մարդ։ Վարձու աշխատողների թվի աճին հիմնականում նպաստել են մշակող արդյունաբերության, տեղեկատվական տեխնոլոգիաների, շինարարության, մշակույթ, զվարճություններ և հանգիստ, ինչպես նաև կացության և հանրային սննդի կազմակերպման ոլորտներում աշխատողների թվի աճը։ Սա իր հերթին հիմնականում պայմանավորված է ՀՀ ժամանած զբոսաշրջիկների և աշխատանքային միգրանտների թվի ավելացմամբ, ինչպես նաև մշակող արդյունաբերության արտադրանքի նկատմամբ պահանջարկի աճով և շինարարության ոլորտի դրական զարգացումներով։</w:t>
      </w:r>
    </w:p>
    <w:p w:rsidR="00EB631E" w:rsidRPr="003E0B7E" w:rsidRDefault="00EB631E" w:rsidP="00064143">
      <w:pPr>
        <w:spacing w:line="360" w:lineRule="auto"/>
        <w:ind w:firstLine="567"/>
        <w:jc w:val="both"/>
        <w:rPr>
          <w:rFonts w:ascii="GHEA Grapalat" w:eastAsia="GHEA Grapalat" w:hAnsi="GHEA Grapalat" w:cs="GHEA Grapalat"/>
          <w:sz w:val="22"/>
          <w:szCs w:val="22"/>
          <w:lang w:val="hy-AM"/>
        </w:rPr>
      </w:pPr>
      <w:r w:rsidRPr="003E0B7E">
        <w:rPr>
          <w:rFonts w:ascii="GHEA Grapalat" w:eastAsia="GHEA Grapalat" w:hAnsi="GHEA Grapalat" w:cs="GHEA Grapalat"/>
          <w:sz w:val="22"/>
          <w:szCs w:val="22"/>
          <w:lang w:val="hy-AM"/>
        </w:rPr>
        <w:t>2023 թվականի առաջին եռամսյակում գործազրկության մակարդակը նախորդ տարվա նույն եռամսյակի նկատմամբ նվազել է 1.1 տոկոսային կետով՝ կազմելով 13.7%, գործազուրկների թիվը նվազել է 3.6%-ով, զբաղվածների թիվն՝ աճել 5.5%-ով։ Միաժամանակ, աշխատուժի առաջարկն աճել է 4.2%-ով։</w:t>
      </w:r>
    </w:p>
    <w:p w:rsidR="00EB631E" w:rsidRPr="003E0B7E" w:rsidRDefault="00EB631E" w:rsidP="00064143">
      <w:pPr>
        <w:spacing w:line="360" w:lineRule="auto"/>
        <w:ind w:firstLine="567"/>
        <w:jc w:val="both"/>
        <w:rPr>
          <w:rFonts w:ascii="GHEA Grapalat" w:eastAsia="GHEA Grapalat" w:hAnsi="GHEA Grapalat" w:cs="GHEA Grapalat"/>
          <w:sz w:val="22"/>
          <w:szCs w:val="22"/>
          <w:lang w:val="hy-AM"/>
        </w:rPr>
      </w:pPr>
      <w:r w:rsidRPr="003E0B7E">
        <w:rPr>
          <w:rFonts w:ascii="GHEA Grapalat" w:eastAsia="GHEA Grapalat" w:hAnsi="GHEA Grapalat" w:cs="GHEA Grapalat"/>
          <w:sz w:val="22"/>
          <w:szCs w:val="22"/>
          <w:lang w:val="hy-AM"/>
        </w:rPr>
        <w:t xml:space="preserve">2023 թվականի առաջին կիսամյակում միջին ամսական անվանական աշխատավարձը նախորդ տարվա նույն ժամանակահատվածի համեմատ աճել է 19.5%-ով` կազմելով 261,376 դրամ: </w:t>
      </w:r>
      <w:r w:rsidRPr="003E0B7E">
        <w:rPr>
          <w:rFonts w:ascii="GHEA Grapalat" w:eastAsia="GHEA Grapalat" w:hAnsi="GHEA Grapalat" w:cs="GHEA Grapalat"/>
          <w:sz w:val="22"/>
          <w:szCs w:val="22"/>
          <w:lang w:val="hy-AM"/>
        </w:rPr>
        <w:lastRenderedPageBreak/>
        <w:t>Աշխատավարձի աճին հիմնականում նպաստել են տեղեկատվական տեխնոլոգիաների, մշակող արդյունաբերության, մեծածախ և մանրածախ առևտրի, ինչպես նաև մշակույթ, զվարճություններ և հանգիստ ոլորտների աշխատավարձերի աճը։ Միջին ամսական անվանական աշխատավարձը պետական հատվածում աճել է 9.2%-ով` կազմելով 192,109 դրամ, իսկ ոչ պետականում` 22.1%-ով և կազմել է 290,141 դրամ: Իրական աշխատավարձը՝ 4.2% գնաճի պայմաններում, 2022 թվականի նույն ժամանակահատվածի համեմատ աճել է 14.7%-ով:</w:t>
      </w:r>
    </w:p>
    <w:p w:rsidR="00064143" w:rsidRPr="003E0B7E" w:rsidRDefault="00064143" w:rsidP="00EB631E">
      <w:pPr>
        <w:tabs>
          <w:tab w:val="right" w:pos="8640"/>
        </w:tabs>
        <w:spacing w:line="360" w:lineRule="auto"/>
        <w:ind w:firstLine="540"/>
        <w:jc w:val="both"/>
        <w:rPr>
          <w:rFonts w:ascii="GHEA Grapalat" w:hAnsi="GHEA Grapalat" w:cs="GHEA Grapalat"/>
          <w:sz w:val="22"/>
          <w:szCs w:val="22"/>
          <w:lang w:val="hy-AM"/>
        </w:rPr>
      </w:pPr>
    </w:p>
    <w:tbl>
      <w:tblPr>
        <w:tblW w:w="0" w:type="auto"/>
        <w:tblInd w:w="108" w:type="dxa"/>
        <w:tblLook w:val="04A0" w:firstRow="1" w:lastRow="0" w:firstColumn="1" w:lastColumn="0" w:noHBand="0" w:noVBand="1"/>
      </w:tblPr>
      <w:tblGrid>
        <w:gridCol w:w="5049"/>
        <w:gridCol w:w="5049"/>
      </w:tblGrid>
      <w:tr w:rsidR="00EB631E" w:rsidRPr="00E57C0E" w:rsidTr="00AA791E">
        <w:trPr>
          <w:trHeight w:val="962"/>
        </w:trPr>
        <w:tc>
          <w:tcPr>
            <w:tcW w:w="5218" w:type="dxa"/>
            <w:shd w:val="clear" w:color="auto" w:fill="auto"/>
          </w:tcPr>
          <w:p w:rsidR="00EB631E" w:rsidRPr="003E0B7E" w:rsidRDefault="00EB631E" w:rsidP="00AA791E">
            <w:pPr>
              <w:tabs>
                <w:tab w:val="right" w:pos="0"/>
              </w:tabs>
              <w:spacing w:before="120" w:after="60"/>
              <w:contextualSpacing/>
              <w:rPr>
                <w:rFonts w:ascii="GHEA Grapalat" w:hAnsi="GHEA Grapalat"/>
                <w:sz w:val="16"/>
                <w:szCs w:val="16"/>
                <w:lang w:val="hy-AM"/>
              </w:rPr>
            </w:pPr>
            <w:r w:rsidRPr="003E0B7E">
              <w:rPr>
                <w:rFonts w:ascii="GHEA Grapalat" w:hAnsi="GHEA Grapalat"/>
                <w:b/>
                <w:sz w:val="16"/>
                <w:szCs w:val="16"/>
                <w:lang w:val="hy-AM"/>
              </w:rPr>
              <w:t>Գծապատկեր 8.</w:t>
            </w:r>
            <w:r w:rsidRPr="003E0B7E">
              <w:rPr>
                <w:rFonts w:ascii="GHEA Grapalat" w:hAnsi="GHEA Grapalat"/>
                <w:sz w:val="16"/>
                <w:szCs w:val="16"/>
                <w:lang w:val="hy-AM"/>
              </w:rPr>
              <w:t xml:space="preserve"> Գործազրկության մակարդակ, գործազուրկներ, վարձու աշխատողներ և զբաղվածներ</w:t>
            </w:r>
          </w:p>
          <w:p w:rsidR="00EB631E" w:rsidRPr="003E0B7E" w:rsidRDefault="00EB631E" w:rsidP="00AA791E">
            <w:pPr>
              <w:tabs>
                <w:tab w:val="right" w:pos="0"/>
              </w:tabs>
              <w:spacing w:before="120" w:after="60"/>
              <w:contextualSpacing/>
              <w:rPr>
                <w:rFonts w:ascii="GHEA Grapalat" w:hAnsi="GHEA Grapalat"/>
                <w:sz w:val="16"/>
                <w:szCs w:val="16"/>
                <w:lang w:val="hy-AM"/>
              </w:rPr>
            </w:pPr>
          </w:p>
          <w:p w:rsidR="00EB631E" w:rsidRPr="00E57C0E" w:rsidRDefault="00EB631E" w:rsidP="00AA791E">
            <w:pPr>
              <w:tabs>
                <w:tab w:val="right" w:pos="0"/>
              </w:tabs>
              <w:spacing w:before="120" w:after="60"/>
              <w:contextualSpacing/>
              <w:rPr>
                <w:rFonts w:ascii="GHEA Grapalat" w:hAnsi="GHEA Grapalat"/>
                <w:sz w:val="16"/>
                <w:szCs w:val="16"/>
              </w:rPr>
            </w:pPr>
            <w:r w:rsidRPr="00E57C0E">
              <w:rPr>
                <w:rFonts w:ascii="GHEA Grapalat" w:hAnsi="GHEA Grapalat"/>
                <w:noProof/>
                <w:sz w:val="22"/>
                <w:szCs w:val="22"/>
              </w:rPr>
              <w:drawing>
                <wp:inline distT="0" distB="0" distL="0" distR="0" wp14:anchorId="2AA7F265" wp14:editId="080AE7E2">
                  <wp:extent cx="3181350" cy="2390775"/>
                  <wp:effectExtent l="0" t="0" r="0" b="9525"/>
                  <wp:docPr id="73" name="Char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203" w:type="dxa"/>
            <w:shd w:val="clear" w:color="auto" w:fill="auto"/>
          </w:tcPr>
          <w:p w:rsidR="00EB631E" w:rsidRPr="00E57C0E" w:rsidRDefault="00EB631E" w:rsidP="00AA791E">
            <w:pPr>
              <w:tabs>
                <w:tab w:val="right" w:pos="0"/>
              </w:tabs>
              <w:spacing w:before="120" w:after="60"/>
              <w:contextualSpacing/>
              <w:rPr>
                <w:rFonts w:ascii="GHEA Grapalat" w:hAnsi="GHEA Grapalat"/>
                <w:sz w:val="16"/>
                <w:szCs w:val="16"/>
              </w:rPr>
            </w:pPr>
            <w:r w:rsidRPr="00E57C0E">
              <w:rPr>
                <w:rFonts w:ascii="GHEA Grapalat" w:hAnsi="GHEA Grapalat"/>
                <w:b/>
                <w:sz w:val="16"/>
                <w:szCs w:val="16"/>
              </w:rPr>
              <w:t>Գծապատկեր 9.</w:t>
            </w:r>
            <w:r w:rsidRPr="00E57C0E">
              <w:rPr>
                <w:rFonts w:ascii="GHEA Grapalat" w:hAnsi="GHEA Grapalat"/>
                <w:sz w:val="16"/>
                <w:szCs w:val="16"/>
              </w:rPr>
              <w:t xml:space="preserve"> Միջին ամսական աշխատավարձի աճը նախորդ տարվա նույն ժամանակահատվածի նկատմամբ, %</w:t>
            </w:r>
          </w:p>
          <w:p w:rsidR="00EB631E" w:rsidRPr="00E57C0E" w:rsidRDefault="00EB631E" w:rsidP="00AA791E">
            <w:pPr>
              <w:tabs>
                <w:tab w:val="right" w:pos="0"/>
              </w:tabs>
              <w:spacing w:before="120" w:after="60"/>
              <w:contextualSpacing/>
              <w:rPr>
                <w:rFonts w:ascii="GHEA Grapalat" w:hAnsi="GHEA Grapalat"/>
                <w:sz w:val="16"/>
                <w:szCs w:val="16"/>
              </w:rPr>
            </w:pPr>
          </w:p>
          <w:p w:rsidR="00EB631E" w:rsidRPr="00E57C0E" w:rsidRDefault="00EB631E" w:rsidP="00AA791E">
            <w:pPr>
              <w:tabs>
                <w:tab w:val="right" w:pos="0"/>
              </w:tabs>
              <w:spacing w:before="120" w:after="60"/>
              <w:contextualSpacing/>
              <w:rPr>
                <w:rFonts w:ascii="GHEA Grapalat" w:hAnsi="GHEA Grapalat"/>
                <w:sz w:val="16"/>
                <w:szCs w:val="16"/>
              </w:rPr>
            </w:pPr>
            <w:r w:rsidRPr="00E57C0E">
              <w:rPr>
                <w:rFonts w:ascii="GHEA Grapalat" w:hAnsi="GHEA Grapalat"/>
                <w:noProof/>
                <w:sz w:val="16"/>
                <w:szCs w:val="16"/>
              </w:rPr>
              <w:drawing>
                <wp:inline distT="0" distB="0" distL="0" distR="0" wp14:anchorId="256E7EC1" wp14:editId="1B0167B1">
                  <wp:extent cx="3171825" cy="2390775"/>
                  <wp:effectExtent l="0" t="0" r="9525" b="9525"/>
                  <wp:docPr id="74" name="Char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EB631E" w:rsidRPr="00E57C0E" w:rsidTr="00AA791E">
        <w:trPr>
          <w:trHeight w:val="314"/>
        </w:trPr>
        <w:tc>
          <w:tcPr>
            <w:tcW w:w="5218" w:type="dxa"/>
            <w:shd w:val="clear" w:color="auto" w:fill="auto"/>
          </w:tcPr>
          <w:p w:rsidR="00EB631E" w:rsidRPr="00E57C0E" w:rsidRDefault="00EB631E" w:rsidP="00AA791E">
            <w:pPr>
              <w:tabs>
                <w:tab w:val="right" w:pos="0"/>
              </w:tabs>
              <w:spacing w:before="120" w:after="60"/>
              <w:contextualSpacing/>
              <w:rPr>
                <w:rFonts w:ascii="GHEA Grapalat" w:hAnsi="GHEA Grapalat" w:cs="Sylfaen"/>
                <w:sz w:val="22"/>
                <w:szCs w:val="22"/>
              </w:rPr>
            </w:pPr>
            <w:r w:rsidRPr="00E57C0E">
              <w:rPr>
                <w:rFonts w:ascii="GHEA Grapalat" w:hAnsi="GHEA Grapalat"/>
                <w:i/>
                <w:sz w:val="18"/>
                <w:szCs w:val="18"/>
              </w:rPr>
              <w:t>Աղբյուրը՝ ՀՀ ՎԿ</w:t>
            </w:r>
          </w:p>
        </w:tc>
        <w:tc>
          <w:tcPr>
            <w:tcW w:w="5203" w:type="dxa"/>
            <w:shd w:val="clear" w:color="auto" w:fill="auto"/>
          </w:tcPr>
          <w:p w:rsidR="00EB631E" w:rsidRPr="00E57C0E" w:rsidRDefault="00EB631E" w:rsidP="00AA791E">
            <w:pPr>
              <w:tabs>
                <w:tab w:val="right" w:pos="0"/>
              </w:tabs>
              <w:spacing w:before="120" w:after="60"/>
              <w:contextualSpacing/>
              <w:rPr>
                <w:rFonts w:ascii="GHEA Grapalat" w:hAnsi="GHEA Grapalat"/>
                <w:i/>
                <w:sz w:val="18"/>
                <w:szCs w:val="18"/>
              </w:rPr>
            </w:pPr>
            <w:r w:rsidRPr="00E57C0E">
              <w:rPr>
                <w:rFonts w:ascii="GHEA Grapalat" w:hAnsi="GHEA Grapalat"/>
                <w:i/>
                <w:sz w:val="18"/>
                <w:szCs w:val="18"/>
              </w:rPr>
              <w:t>Աղբյուրը՝ ՀՀ ՎԿ</w:t>
            </w:r>
          </w:p>
        </w:tc>
      </w:tr>
    </w:tbl>
    <w:p w:rsidR="00D87203" w:rsidRPr="00E57C0E" w:rsidRDefault="00D87203" w:rsidP="007A3AAA">
      <w:pPr>
        <w:tabs>
          <w:tab w:val="right" w:pos="8640"/>
        </w:tabs>
        <w:spacing w:line="360" w:lineRule="auto"/>
        <w:ind w:firstLine="540"/>
        <w:jc w:val="both"/>
        <w:rPr>
          <w:rFonts w:ascii="GHEA Grapalat" w:eastAsia="GHEA Grapalat" w:hAnsi="GHEA Grapalat"/>
          <w:sz w:val="22"/>
          <w:szCs w:val="22"/>
          <w:lang w:val="hy-AM"/>
        </w:rPr>
      </w:pPr>
    </w:p>
    <w:p w:rsidR="00563135" w:rsidRPr="00E57C0E" w:rsidRDefault="00563135" w:rsidP="00563135">
      <w:pPr>
        <w:pStyle w:val="Heading6"/>
        <w:ind w:left="567"/>
        <w:rPr>
          <w:rFonts w:ascii="GHEA Grapalat" w:hAnsi="GHEA Grapalat"/>
          <w:b/>
          <w:sz w:val="22"/>
          <w:szCs w:val="22"/>
          <w:u w:val="none"/>
        </w:rPr>
      </w:pPr>
      <w:bookmarkStart w:id="22" w:name="_Toc6389321"/>
      <w:bookmarkStart w:id="23" w:name="_Toc37763588"/>
      <w:bookmarkStart w:id="24" w:name="_Toc71311884"/>
      <w:r w:rsidRPr="00E57C0E">
        <w:rPr>
          <w:rFonts w:ascii="GHEA Grapalat" w:hAnsi="GHEA Grapalat"/>
          <w:b/>
          <w:sz w:val="22"/>
          <w:szCs w:val="22"/>
          <w:u w:val="none"/>
        </w:rPr>
        <w:t>Գնաճ</w:t>
      </w:r>
      <w:bookmarkEnd w:id="22"/>
      <w:bookmarkEnd w:id="23"/>
      <w:r w:rsidRPr="00E57C0E">
        <w:rPr>
          <w:rFonts w:ascii="GHEA Grapalat" w:hAnsi="GHEA Grapalat"/>
          <w:b/>
          <w:sz w:val="22"/>
          <w:szCs w:val="22"/>
          <w:u w:val="none"/>
        </w:rPr>
        <w:t xml:space="preserve"> և դրամավարկային քաղաքականություն</w:t>
      </w:r>
      <w:bookmarkEnd w:id="24"/>
    </w:p>
    <w:p w:rsidR="00EB631E" w:rsidRPr="00A857DF" w:rsidRDefault="00EB631E" w:rsidP="00064143">
      <w:pPr>
        <w:spacing w:line="360" w:lineRule="auto"/>
        <w:ind w:firstLine="567"/>
        <w:jc w:val="both"/>
        <w:rPr>
          <w:rFonts w:ascii="GHEA Grapalat" w:eastAsia="GHEA Grapalat" w:hAnsi="GHEA Grapalat" w:cs="GHEA Grapalat"/>
          <w:sz w:val="22"/>
          <w:szCs w:val="22"/>
          <w:lang w:val="hy-AM"/>
        </w:rPr>
      </w:pPr>
      <w:r w:rsidRPr="00A857DF">
        <w:rPr>
          <w:rFonts w:ascii="GHEA Grapalat" w:eastAsia="GHEA Grapalat" w:hAnsi="GHEA Grapalat" w:cs="GHEA Grapalat"/>
          <w:sz w:val="22"/>
          <w:szCs w:val="22"/>
          <w:lang w:val="hy-AM"/>
        </w:rPr>
        <w:t>2023 թվականի 1-ին կիսամյակի ընթացքում 12 ամսյա գնաճի տեմպերը կտրուկ դանդաղել են՝ հունիսին հասնելով -0.5%-ի, սակայն տնտեսությունում բարձր պահանջարկը,</w:t>
      </w:r>
      <w:r w:rsidR="008B7237" w:rsidRPr="00A857DF">
        <w:rPr>
          <w:rFonts w:ascii="GHEA Grapalat" w:eastAsia="GHEA Grapalat" w:hAnsi="GHEA Grapalat" w:cs="GHEA Grapalat"/>
          <w:sz w:val="22"/>
          <w:szCs w:val="22"/>
          <w:lang w:val="hy-AM"/>
        </w:rPr>
        <w:t xml:space="preserve"> </w:t>
      </w:r>
      <w:r w:rsidRPr="00A857DF">
        <w:rPr>
          <w:rFonts w:ascii="GHEA Grapalat" w:eastAsia="GHEA Grapalat" w:hAnsi="GHEA Grapalat" w:cs="GHEA Grapalat"/>
          <w:sz w:val="22"/>
          <w:szCs w:val="22"/>
          <w:lang w:val="hy-AM"/>
        </w:rPr>
        <w:t>աշխատավարձերի աճի բարձր տեմպերն ու գնաճային սպասումները պահպանվում են, ինչը հիմք ընդունելով</w:t>
      </w:r>
      <w:r w:rsidR="0084456D" w:rsidRPr="00A857DF">
        <w:rPr>
          <w:rFonts w:ascii="GHEA Grapalat" w:eastAsia="GHEA Grapalat" w:hAnsi="GHEA Grapalat" w:cs="GHEA Grapalat"/>
          <w:sz w:val="22"/>
          <w:szCs w:val="22"/>
          <w:lang w:val="hy-AM"/>
        </w:rPr>
        <w:t>՝</w:t>
      </w:r>
      <w:r w:rsidRPr="00A857DF">
        <w:rPr>
          <w:rFonts w:ascii="GHEA Grapalat" w:eastAsia="GHEA Grapalat" w:hAnsi="GHEA Grapalat" w:cs="GHEA Grapalat"/>
          <w:sz w:val="22"/>
          <w:szCs w:val="22"/>
          <w:lang w:val="hy-AM"/>
        </w:rPr>
        <w:t xml:space="preserve"> ԿԲ-ն հաշվենկատ է գտնվել դրամավարկային քաղաքականության ուղղության փոփոխության հարցում՝ նվազեցնելով քաղաքականության տոկոսադրույք</w:t>
      </w:r>
      <w:r w:rsidR="0084456D" w:rsidRPr="00A857DF">
        <w:rPr>
          <w:rFonts w:ascii="GHEA Grapalat" w:eastAsia="GHEA Grapalat" w:hAnsi="GHEA Grapalat" w:cs="GHEA Grapalat"/>
          <w:sz w:val="22"/>
          <w:szCs w:val="22"/>
          <w:lang w:val="hy-AM"/>
        </w:rPr>
        <w:t>ն</w:t>
      </w:r>
      <w:r w:rsidRPr="00A857DF">
        <w:rPr>
          <w:rFonts w:ascii="GHEA Grapalat" w:eastAsia="GHEA Grapalat" w:hAnsi="GHEA Grapalat" w:cs="GHEA Grapalat"/>
          <w:sz w:val="22"/>
          <w:szCs w:val="22"/>
          <w:lang w:val="hy-AM"/>
        </w:rPr>
        <w:t xml:space="preserve"> ընդամենը 0.25 տոկոսային կետով: Գնաճի տեմպերի զգալի դանդաղումը պայմանավորվել է արտաքին հատվածից գնաճային ճնշումների թուլացման, նախորդ տարվա և ընթացիկ տարվա առաջին կիսամյակի ընթացքում փոխարժեքի արժևորման, ինչպես նաև իրականացված հետևողական զսպող դրամավարկային քաղաքականության ազդեցությամբ՝ միաժամանակ օժանդակություն ստանալով նախորդ տարվա գների բարձր բազայի գործոնից։ Վերջինիս, սակայն, հակակշռել է պահպանվող բարձր պահանջարկը, որի ազդեցությամբ ծառայությունների գնաճը ավելի դանդաղ տեմպով է նվազել։ Արդյունքում 12</w:t>
      </w:r>
      <w:r w:rsidR="0084456D" w:rsidRPr="00A857DF">
        <w:rPr>
          <w:rFonts w:ascii="GHEA Grapalat" w:eastAsia="GHEA Grapalat" w:hAnsi="GHEA Grapalat" w:cs="GHEA Grapalat"/>
          <w:sz w:val="22"/>
          <w:szCs w:val="22"/>
          <w:lang w:val="hy-AM"/>
        </w:rPr>
        <w:t>-</w:t>
      </w:r>
      <w:r w:rsidRPr="00A857DF">
        <w:rPr>
          <w:rFonts w:ascii="GHEA Grapalat" w:eastAsia="GHEA Grapalat" w:hAnsi="GHEA Grapalat" w:cs="GHEA Grapalat"/>
          <w:sz w:val="22"/>
          <w:szCs w:val="22"/>
          <w:lang w:val="hy-AM"/>
        </w:rPr>
        <w:t xml:space="preserve">ամսյա գնաճը հունիսին կազմել է -0.5%` գտնվելով ԿԲ նպատակային ցուցանիշից </w:t>
      </w:r>
      <w:r w:rsidRPr="00A857DF">
        <w:rPr>
          <w:rFonts w:ascii="GHEA Grapalat" w:eastAsia="GHEA Grapalat" w:hAnsi="GHEA Grapalat" w:cs="GHEA Grapalat"/>
          <w:sz w:val="22"/>
          <w:szCs w:val="22"/>
          <w:lang w:val="hy-AM"/>
        </w:rPr>
        <w:lastRenderedPageBreak/>
        <w:t>ցածր, իսկ միջին գնաճը առաջին կիսամյակում 4.2% (ծառայությունների դեպքում 12</w:t>
      </w:r>
      <w:r w:rsidR="0084456D" w:rsidRPr="00A857DF">
        <w:rPr>
          <w:rFonts w:ascii="GHEA Grapalat" w:eastAsia="GHEA Grapalat" w:hAnsi="GHEA Grapalat" w:cs="GHEA Grapalat"/>
          <w:sz w:val="22"/>
          <w:szCs w:val="22"/>
          <w:lang w:val="hy-AM"/>
        </w:rPr>
        <w:t>-</w:t>
      </w:r>
      <w:r w:rsidRPr="00A857DF">
        <w:rPr>
          <w:rFonts w:ascii="GHEA Grapalat" w:eastAsia="GHEA Grapalat" w:hAnsi="GHEA Grapalat" w:cs="GHEA Grapalat"/>
          <w:sz w:val="22"/>
          <w:szCs w:val="22"/>
          <w:lang w:val="hy-AM"/>
        </w:rPr>
        <w:t>ամսյա գնաճը կազմել է 3.9%, իսկ միջին գնաճը՝ 5.7%):</w:t>
      </w:r>
    </w:p>
    <w:p w:rsidR="0084456D" w:rsidRPr="00A857DF" w:rsidRDefault="0084456D" w:rsidP="00064143">
      <w:pPr>
        <w:spacing w:line="360" w:lineRule="auto"/>
        <w:ind w:firstLine="567"/>
        <w:jc w:val="both"/>
        <w:rPr>
          <w:rFonts w:ascii="GHEA Grapalat" w:eastAsia="GHEA Grapalat" w:hAnsi="GHEA Grapalat" w:cs="GHEA Grapalat"/>
          <w:sz w:val="22"/>
          <w:szCs w:val="22"/>
          <w:lang w:val="hy-AM"/>
        </w:rPr>
      </w:pPr>
    </w:p>
    <w:p w:rsidR="00EB631E" w:rsidRPr="00A857DF" w:rsidRDefault="00EB631E" w:rsidP="0084456D">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lang w:val="hy-AM"/>
        </w:rPr>
      </w:pPr>
      <w:r w:rsidRPr="00A857DF">
        <w:rPr>
          <w:rFonts w:ascii="GHEA Grapalat" w:hAnsi="GHEA Grapalat" w:cs="Sylfaen"/>
          <w:sz w:val="22"/>
          <w:szCs w:val="22"/>
          <w:lang w:val="hy-AM"/>
        </w:rPr>
        <w:t>Գնաճի տեմպերը և ԿԲ տոկոսադրույք</w:t>
      </w:r>
      <w:r w:rsidR="0084456D" w:rsidRPr="00A857DF">
        <w:rPr>
          <w:rFonts w:ascii="GHEA Grapalat" w:hAnsi="GHEA Grapalat" w:cs="Sylfaen"/>
          <w:sz w:val="22"/>
          <w:szCs w:val="22"/>
          <w:lang w:val="hy-AM"/>
        </w:rPr>
        <w:t>ն</w:t>
      </w:r>
      <w:r w:rsidRPr="00A857DF">
        <w:rPr>
          <w:rFonts w:ascii="GHEA Grapalat" w:hAnsi="GHEA Grapalat" w:cs="Sylfaen"/>
          <w:sz w:val="22"/>
          <w:szCs w:val="22"/>
          <w:lang w:val="hy-AM"/>
        </w:rPr>
        <w:t xml:space="preserve"> ըստ ամիսների, 2019-2023թ</w:t>
      </w:r>
      <w:r w:rsidRPr="00A857DF">
        <w:rPr>
          <w:rFonts w:ascii="Cambria Math" w:hAnsi="Cambria Math" w:cs="Cambria Math"/>
          <w:sz w:val="22"/>
          <w:szCs w:val="22"/>
          <w:lang w:val="hy-AM"/>
        </w:rPr>
        <w:t>․</w:t>
      </w:r>
      <w:r w:rsidRPr="00A857DF">
        <w:rPr>
          <w:rFonts w:ascii="GHEA Grapalat" w:hAnsi="GHEA Grapalat" w:cs="Sylfaen"/>
          <w:sz w:val="22"/>
          <w:szCs w:val="22"/>
          <w:lang w:val="hy-AM"/>
        </w:rPr>
        <w:t xml:space="preserve"> հունիս, %</w:t>
      </w:r>
    </w:p>
    <w:p w:rsidR="00EB631E" w:rsidRPr="00E57C0E" w:rsidRDefault="00EB631E" w:rsidP="00EB631E">
      <w:pPr>
        <w:spacing w:line="360" w:lineRule="auto"/>
        <w:jc w:val="both"/>
        <w:rPr>
          <w:rFonts w:ascii="GHEA Grapalat" w:eastAsia="GHEA Grapalat" w:hAnsi="GHEA Grapalat" w:cs="GHEA Grapalat"/>
          <w:sz w:val="22"/>
          <w:szCs w:val="22"/>
        </w:rPr>
      </w:pPr>
      <w:r w:rsidRPr="00E57C0E">
        <w:rPr>
          <w:rFonts w:ascii="GHEA Grapalat" w:eastAsia="GHEA Grapalat" w:hAnsi="GHEA Grapalat" w:cs="GHEA Grapalat"/>
          <w:noProof/>
          <w:sz w:val="22"/>
          <w:szCs w:val="22"/>
        </w:rPr>
        <w:drawing>
          <wp:inline distT="0" distB="0" distL="0" distR="0" wp14:anchorId="1FF39FE9" wp14:editId="604A605F">
            <wp:extent cx="6362700" cy="2809875"/>
            <wp:effectExtent l="0" t="0" r="0" b="9525"/>
            <wp:docPr id="6"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631E" w:rsidRPr="00E57C0E" w:rsidRDefault="00EB631E" w:rsidP="00EB631E">
      <w:pPr>
        <w:spacing w:after="120" w:line="360" w:lineRule="auto"/>
        <w:jc w:val="both"/>
        <w:rPr>
          <w:rFonts w:ascii="GHEA Grapalat" w:eastAsia="GHEA Grapalat" w:hAnsi="GHEA Grapalat" w:cs="GHEA Grapalat"/>
          <w:i/>
          <w:iCs/>
          <w:sz w:val="22"/>
          <w:szCs w:val="22"/>
        </w:rPr>
      </w:pPr>
      <w:r w:rsidRPr="00E57C0E">
        <w:rPr>
          <w:rFonts w:ascii="GHEA Grapalat" w:eastAsia="GHEA Grapalat" w:hAnsi="GHEA Grapalat" w:cs="GHEA Grapalat"/>
          <w:i/>
          <w:iCs/>
          <w:color w:val="000000"/>
          <w:sz w:val="18"/>
          <w:szCs w:val="18"/>
        </w:rPr>
        <w:t>Աղբյուրը՝ ՀՀ ԿԲ</w:t>
      </w:r>
    </w:p>
    <w:p w:rsidR="00EB631E" w:rsidRPr="00E57C0E" w:rsidRDefault="00EB631E" w:rsidP="00EB631E">
      <w:pPr>
        <w:spacing w:line="360" w:lineRule="auto"/>
        <w:ind w:firstLine="567"/>
        <w:jc w:val="both"/>
        <w:rPr>
          <w:rFonts w:ascii="GHEA Grapalat" w:eastAsia="GHEA Grapalat" w:hAnsi="GHEA Grapalat" w:cs="GHEA Grapalat"/>
          <w:sz w:val="22"/>
          <w:szCs w:val="22"/>
        </w:rPr>
      </w:pPr>
    </w:p>
    <w:p w:rsidR="00EB631E" w:rsidRPr="00E57C0E" w:rsidRDefault="00EB631E" w:rsidP="00EB631E">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Միջին գնաճին առավելապես նպաստել է «Ծառայություններ» ապրանքախմբում արձանագրված 5.7% գների աճը (նպաստումը գնաճին` 1.8 տոկոսային կետ)</w:t>
      </w:r>
      <w:r w:rsidR="00AA120B" w:rsidRPr="00E57C0E">
        <w:rPr>
          <w:rFonts w:ascii="GHEA Grapalat" w:eastAsia="GHEA Grapalat" w:hAnsi="GHEA Grapalat" w:cs="GHEA Grapalat"/>
          <w:sz w:val="22"/>
          <w:szCs w:val="22"/>
        </w:rPr>
        <w:t>,</w:t>
      </w:r>
      <w:r w:rsidRPr="00E57C0E">
        <w:rPr>
          <w:rFonts w:ascii="GHEA Grapalat" w:eastAsia="GHEA Grapalat" w:hAnsi="GHEA Grapalat" w:cs="GHEA Grapalat"/>
          <w:sz w:val="22"/>
          <w:szCs w:val="22"/>
        </w:rPr>
        <w:t xml:space="preserve"> ինչը հիմնականում պայմանավորված է եղել բնակարանների վարձավճարների, տրանսպորտի, առողջապահական</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ծառայությունների սակագների աճերով: «Սննդամթերք և ոչ ալկոհոլային խմիչքներ» ապրանքախմբում արձանագրվել է 2.9% միջին գնաճի ցուցանիշ (նպաստումը գնաճին՝ 1.2 տոկոսային կետ)` հիմնականում պայմանավորված առաջին անհրաժեշտության պարենային ապրանքների (միս, հացաբուլկեղեն և ձավարեղեն, մրգեր, կաթնամթերք և այլն) գների աճով:</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 xml:space="preserve">«Ալկոհոլային խմիչքներ, ծխախոտային արտադրատեսակներ» խմբում արձանագրվել է 8.6% գնաճ (նպաստումը գնաճին` 0.4 տոկոսային կետ), իսկ «Ոչ պարենային ապրանքներ» խմբում արձանագրվել է 3.3% գնաճ (նպաստումը գնաճին` 0.7 տոկոսային կետ), ինչը, ի թիվս այլ գործոնների, հիմնականում պայմանավորված է հագուստի և կոշիկի, տնային գործածության առարկաների, կենցաղային ապրանքների գների աճով: </w:t>
      </w:r>
    </w:p>
    <w:p w:rsidR="00EB631E" w:rsidRPr="00E57C0E" w:rsidRDefault="00EB631E" w:rsidP="00EB631E">
      <w:pPr>
        <w:spacing w:line="360" w:lineRule="auto"/>
        <w:ind w:firstLine="567"/>
        <w:jc w:val="both"/>
        <w:rPr>
          <w:rFonts w:ascii="GHEA Grapalat" w:eastAsia="GHEA Grapalat" w:hAnsi="GHEA Grapalat" w:cs="GHEA Grapalat"/>
          <w:sz w:val="22"/>
          <w:szCs w:val="22"/>
        </w:rPr>
      </w:pPr>
    </w:p>
    <w:p w:rsidR="00EB631E" w:rsidRPr="00E57C0E" w:rsidRDefault="00EB631E" w:rsidP="00AA120B">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lastRenderedPageBreak/>
        <w:t>Գնաճի նպաստումները խոշոր ապրանքախմբերով, տոկոսային կետ</w:t>
      </w:r>
    </w:p>
    <w:p w:rsidR="00EB631E" w:rsidRPr="00E57C0E" w:rsidRDefault="00EB631E" w:rsidP="00EB631E">
      <w:pPr>
        <w:spacing w:after="120"/>
        <w:rPr>
          <w:rFonts w:ascii="GHEA Grapalat" w:eastAsia="GHEA Grapalat" w:hAnsi="GHEA Grapalat" w:cs="GHEA Grapalat"/>
          <w:i/>
          <w:iCs/>
          <w:color w:val="000000"/>
          <w:sz w:val="18"/>
          <w:szCs w:val="18"/>
        </w:rPr>
      </w:pPr>
      <w:r w:rsidRPr="00E57C0E">
        <w:rPr>
          <w:rFonts w:ascii="GHEA Grapalat" w:hAnsi="GHEA Grapalat" w:cs="Sylfaen"/>
          <w:b/>
          <w:noProof/>
          <w:szCs w:val="22"/>
        </w:rPr>
        <w:drawing>
          <wp:inline distT="0" distB="0" distL="0" distR="0" wp14:anchorId="205FF53B" wp14:editId="1C4F8E4F">
            <wp:extent cx="3181350" cy="2286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57C0E">
        <w:rPr>
          <w:rFonts w:ascii="GHEA Grapalat" w:hAnsi="GHEA Grapalat" w:cs="Sylfaen"/>
          <w:b/>
          <w:noProof/>
          <w:szCs w:val="22"/>
        </w:rPr>
        <w:drawing>
          <wp:inline distT="0" distB="0" distL="0" distR="0" wp14:anchorId="3313372E" wp14:editId="0338A852">
            <wp:extent cx="3181350" cy="2286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57C0E">
        <w:rPr>
          <w:rFonts w:ascii="GHEA Grapalat" w:hAnsi="GHEA Grapalat" w:cs="Sylfaen"/>
          <w:b/>
          <w:noProof/>
          <w:szCs w:val="22"/>
        </w:rPr>
        <w:drawing>
          <wp:inline distT="0" distB="0" distL="0" distR="0" wp14:anchorId="2F9E05A4" wp14:editId="5C4B32BB">
            <wp:extent cx="6334125" cy="6953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B631E" w:rsidRPr="00E57C0E" w:rsidRDefault="00EB631E" w:rsidP="00EB631E">
      <w:pPr>
        <w:spacing w:after="120"/>
        <w:rPr>
          <w:rFonts w:ascii="GHEA Grapalat" w:eastAsia="GHEA Grapalat" w:hAnsi="GHEA Grapalat" w:cs="GHEA Grapalat"/>
          <w:i/>
          <w:iCs/>
          <w:color w:val="000000"/>
          <w:sz w:val="18"/>
          <w:szCs w:val="18"/>
        </w:rPr>
      </w:pPr>
      <w:r w:rsidRPr="00E57C0E">
        <w:rPr>
          <w:rFonts w:ascii="GHEA Grapalat" w:eastAsia="GHEA Grapalat" w:hAnsi="GHEA Grapalat" w:cs="GHEA Grapalat"/>
          <w:i/>
          <w:iCs/>
          <w:color w:val="000000"/>
          <w:sz w:val="18"/>
          <w:szCs w:val="18"/>
        </w:rPr>
        <w:t>Աղբյուրը՝ ՀՀ ՎԿ և ՀՀ ՖՆ հաշվարկներ</w:t>
      </w:r>
    </w:p>
    <w:p w:rsidR="00D46844" w:rsidRPr="00E57C0E" w:rsidRDefault="00D46844" w:rsidP="0019341F">
      <w:pPr>
        <w:spacing w:line="276" w:lineRule="auto"/>
        <w:ind w:firstLine="720"/>
        <w:jc w:val="both"/>
        <w:rPr>
          <w:rFonts w:ascii="GHEA Grapalat" w:eastAsia="GHEA Grapalat" w:hAnsi="GHEA Grapalat" w:cs="GHEA Grapalat"/>
          <w:iCs/>
          <w:color w:val="000000"/>
          <w:sz w:val="22"/>
          <w:szCs w:val="18"/>
        </w:rPr>
      </w:pPr>
    </w:p>
    <w:p w:rsidR="00EB631E" w:rsidRPr="00E57C0E" w:rsidRDefault="00EB631E" w:rsidP="00DD1EAC">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2023</w:t>
      </w:r>
      <w:r w:rsidR="0029182D"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թ</w:t>
      </w:r>
      <w:r w:rsidR="0029182D" w:rsidRPr="00E57C0E">
        <w:rPr>
          <w:rFonts w:ascii="GHEA Grapalat" w:eastAsia="GHEA Grapalat" w:hAnsi="GHEA Grapalat" w:cs="GHEA Grapalat"/>
          <w:sz w:val="22"/>
          <w:szCs w:val="22"/>
        </w:rPr>
        <w:t>վական</w:t>
      </w:r>
      <w:r w:rsidRPr="00E57C0E">
        <w:rPr>
          <w:rFonts w:ascii="GHEA Grapalat" w:eastAsia="GHEA Grapalat" w:hAnsi="GHEA Grapalat" w:cs="GHEA Grapalat"/>
          <w:sz w:val="22"/>
          <w:szCs w:val="22"/>
        </w:rPr>
        <w:t>ի առաջին կիսամյակի վերջին ԿԲ-ն նվազեցրել է քաղաքականության տոկոսադրույքը 0.25 տոկոսային կետով և սահմանել այն 10.5%` արձագանքելով գնաճային ճնշումների կտրուկ թուլացմանը։ Դրամավարկային քաղաքականության տոկոսադրույքի նվազեցումը, գնաճի արագ տեմպերով նվազումը և քաղաքականության հետագա մեղմացման սպասումները հանգեցրել են պետական պարտատոմսերի տոկոսադրույքների որոշակի նվազման։ Վարկերի և ավանդների տոկոսադրույքները շարունակել են կոշտ գտնվել և էական փոփոխություններ չեն կրել՝ պահպանվելով իրենց միջին մակարդակների շուրջ։</w:t>
      </w:r>
    </w:p>
    <w:p w:rsidR="0019341F" w:rsidRPr="00E57C0E" w:rsidRDefault="0019341F" w:rsidP="00DD1EAC">
      <w:pPr>
        <w:spacing w:line="360" w:lineRule="auto"/>
        <w:ind w:firstLine="567"/>
        <w:jc w:val="both"/>
        <w:rPr>
          <w:rFonts w:ascii="GHEA Grapalat" w:eastAsia="GHEA Grapalat" w:hAnsi="GHEA Grapalat" w:cs="GHEA Grapalat"/>
          <w:sz w:val="22"/>
          <w:szCs w:val="22"/>
        </w:rPr>
      </w:pPr>
    </w:p>
    <w:p w:rsidR="00EB631E" w:rsidRPr="00E57C0E" w:rsidRDefault="00EB631E" w:rsidP="00D46844">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ՀՀ դրամով տոկոսադրույքների միտումները ՀՀ ֆինանսական շուկաներում, %</w:t>
      </w:r>
    </w:p>
    <w:p w:rsidR="00EB631E" w:rsidRPr="00E57C0E" w:rsidRDefault="00EB631E" w:rsidP="00EB631E">
      <w:pPr>
        <w:spacing w:line="360" w:lineRule="auto"/>
        <w:rPr>
          <w:rFonts w:ascii="GHEA Grapalat" w:hAnsi="GHEA Grapalat" w:cs="GHEA Grapalat"/>
          <w:sz w:val="22"/>
          <w:szCs w:val="22"/>
        </w:rPr>
      </w:pPr>
      <w:r w:rsidRPr="00E57C0E">
        <w:rPr>
          <w:rFonts w:ascii="GHEA Grapalat" w:hAnsi="GHEA Grapalat" w:cs="GHEA Grapalat"/>
          <w:noProof/>
          <w:sz w:val="22"/>
          <w:szCs w:val="22"/>
        </w:rPr>
        <w:drawing>
          <wp:inline distT="0" distB="0" distL="0" distR="0" wp14:anchorId="4BE60BB8" wp14:editId="535C7F3D">
            <wp:extent cx="6296025" cy="241935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B631E" w:rsidRPr="00E57C0E" w:rsidRDefault="00EB631E" w:rsidP="00EB631E">
      <w:pPr>
        <w:spacing w:after="120" w:line="360" w:lineRule="auto"/>
        <w:rPr>
          <w:rFonts w:ascii="GHEA Grapalat" w:hAnsi="GHEA Grapalat" w:cs="GHEA Grapalat"/>
          <w:i/>
          <w:iCs/>
          <w:sz w:val="22"/>
          <w:szCs w:val="22"/>
        </w:rPr>
      </w:pPr>
      <w:r w:rsidRPr="00E57C0E">
        <w:rPr>
          <w:rFonts w:ascii="GHEA Grapalat" w:hAnsi="GHEA Grapalat"/>
          <w:i/>
          <w:iCs/>
          <w:sz w:val="18"/>
          <w:szCs w:val="18"/>
        </w:rPr>
        <w:t>Աղբյուրը՝ ՀՀ ԿԲ</w:t>
      </w:r>
    </w:p>
    <w:p w:rsidR="00563135" w:rsidRPr="00E57C0E" w:rsidRDefault="00563135" w:rsidP="00563135">
      <w:pPr>
        <w:pStyle w:val="Heading6"/>
        <w:ind w:left="567"/>
        <w:rPr>
          <w:rFonts w:ascii="GHEA Grapalat" w:hAnsi="GHEA Grapalat"/>
          <w:b/>
          <w:sz w:val="22"/>
          <w:szCs w:val="22"/>
          <w:u w:val="none"/>
        </w:rPr>
      </w:pPr>
      <w:bookmarkStart w:id="25" w:name="_Toc71311885"/>
      <w:r w:rsidRPr="00E57C0E">
        <w:rPr>
          <w:rFonts w:ascii="GHEA Grapalat" w:hAnsi="GHEA Grapalat"/>
          <w:b/>
          <w:sz w:val="22"/>
          <w:szCs w:val="22"/>
          <w:u w:val="none"/>
        </w:rPr>
        <w:lastRenderedPageBreak/>
        <w:t>Արտաքին առևտուր</w:t>
      </w:r>
      <w:bookmarkEnd w:id="25"/>
      <w:r w:rsidR="00D87203" w:rsidRPr="00E57C0E">
        <w:rPr>
          <w:rFonts w:ascii="GHEA Grapalat" w:hAnsi="GHEA Grapalat"/>
          <w:b/>
          <w:sz w:val="22"/>
          <w:szCs w:val="22"/>
          <w:u w:val="none"/>
        </w:rPr>
        <w:t xml:space="preserve"> և զբոսաշրջություն</w:t>
      </w:r>
    </w:p>
    <w:p w:rsidR="00001922" w:rsidRPr="00A857DF" w:rsidRDefault="00001922" w:rsidP="00DD1EAC">
      <w:pPr>
        <w:spacing w:line="360" w:lineRule="auto"/>
        <w:ind w:firstLine="567"/>
        <w:jc w:val="both"/>
        <w:rPr>
          <w:rFonts w:ascii="GHEA Grapalat" w:eastAsia="GHEA Grapalat" w:hAnsi="GHEA Grapalat" w:cs="GHEA Grapalat"/>
          <w:sz w:val="22"/>
          <w:szCs w:val="22"/>
          <w:lang w:val="hy-AM"/>
        </w:rPr>
      </w:pPr>
      <w:bookmarkStart w:id="26" w:name="_Hlk134260770"/>
      <w:r w:rsidRPr="00A857DF">
        <w:rPr>
          <w:rFonts w:ascii="GHEA Grapalat" w:eastAsia="GHEA Grapalat" w:hAnsi="GHEA Grapalat" w:cs="GHEA Grapalat"/>
          <w:b/>
          <w:i/>
          <w:sz w:val="22"/>
          <w:szCs w:val="22"/>
          <w:lang w:val="hy-AM"/>
        </w:rPr>
        <w:t>Արտաքին առևտուր</w:t>
      </w:r>
      <w:r w:rsidRPr="00A857DF">
        <w:rPr>
          <w:rFonts w:ascii="GHEA Grapalat" w:eastAsia="GHEA Grapalat" w:hAnsi="GHEA Grapalat" w:cs="GHEA Grapalat"/>
          <w:b/>
          <w:sz w:val="22"/>
          <w:szCs w:val="22"/>
          <w:lang w:val="hy-AM"/>
        </w:rPr>
        <w:t xml:space="preserve"> (դոլարային արտահայտությամբ)</w:t>
      </w:r>
      <w:r w:rsidRPr="00E57C0E">
        <w:rPr>
          <w:rFonts w:ascii="GHEA Grapalat" w:eastAsia="GHEA Grapalat" w:hAnsi="GHEA Grapalat" w:cs="GHEA Grapalat"/>
          <w:b/>
          <w:sz w:val="22"/>
          <w:szCs w:val="22"/>
          <w:vertAlign w:val="superscript"/>
        </w:rPr>
        <w:footnoteReference w:id="16"/>
      </w:r>
      <w:r w:rsidRPr="00A857DF">
        <w:rPr>
          <w:rFonts w:ascii="GHEA Grapalat" w:eastAsia="GHEA Grapalat" w:hAnsi="GHEA Grapalat" w:cs="GHEA Grapalat"/>
          <w:b/>
          <w:i/>
          <w:sz w:val="22"/>
          <w:szCs w:val="22"/>
          <w:lang w:val="hy-AM"/>
        </w:rPr>
        <w:t>:</w:t>
      </w:r>
      <w:r w:rsidRPr="00A857DF">
        <w:rPr>
          <w:rFonts w:ascii="GHEA Grapalat" w:eastAsia="GHEA Grapalat" w:hAnsi="GHEA Grapalat" w:cs="GHEA Grapalat"/>
          <w:b/>
          <w:sz w:val="22"/>
          <w:szCs w:val="22"/>
          <w:lang w:val="hy-AM"/>
        </w:rPr>
        <w:t xml:space="preserve"> </w:t>
      </w:r>
      <w:r w:rsidRPr="00A857DF">
        <w:rPr>
          <w:rFonts w:ascii="GHEA Grapalat" w:eastAsia="GHEA Grapalat" w:hAnsi="GHEA Grapalat" w:cs="GHEA Grapalat"/>
          <w:sz w:val="22"/>
          <w:szCs w:val="22"/>
          <w:lang w:val="hy-AM"/>
        </w:rPr>
        <w:t>2023 թվականի առաջին կիսամյակում գրանցվել է արտաքին ապրանքաշրջանառության երկնիշ աճ՝ պայմանավորված տնտեսական բարձր ակտիվությամբ և արտաքին որոշ շուկաներում ՀՀ ապրանքների նկատմամբ պահանջարկի ավելացմամբ։ Արտաքին ապրանքաշրջանառությունը 2023 թվականի առաջին կիսամյակում կազմել է 8,899.7 մլն ԱՄՆ դոլար` նախորդ տարվա նույն ժամանակահատվածի նկատմամբ աճելով 72.9%</w:t>
      </w:r>
      <w:r w:rsidR="00287D4D" w:rsidRPr="00A857DF">
        <w:rPr>
          <w:rFonts w:ascii="GHEA Grapalat" w:eastAsia="GHEA Grapalat" w:hAnsi="GHEA Grapalat" w:cs="GHEA Grapalat"/>
          <w:sz w:val="22"/>
          <w:szCs w:val="22"/>
          <w:lang w:val="hy-AM"/>
        </w:rPr>
        <w:t>-ով</w:t>
      </w:r>
      <w:r w:rsidRPr="00A857DF">
        <w:rPr>
          <w:rFonts w:ascii="GHEA Grapalat" w:eastAsia="GHEA Grapalat" w:hAnsi="GHEA Grapalat" w:cs="GHEA Grapalat"/>
          <w:sz w:val="22"/>
          <w:szCs w:val="22"/>
          <w:lang w:val="hy-AM"/>
        </w:rPr>
        <w:t xml:space="preserve">։ Հաշվետու ժամանակահատվածում արձանագրվել է դոլարային արտահայտությամբ արտահանման և ներմուծման երկնիշ </w:t>
      </w:r>
      <w:r w:rsidR="00287D4D" w:rsidRPr="00A857DF">
        <w:rPr>
          <w:rFonts w:ascii="GHEA Grapalat" w:eastAsia="GHEA Grapalat" w:hAnsi="GHEA Grapalat" w:cs="GHEA Grapalat"/>
          <w:sz w:val="22"/>
          <w:szCs w:val="22"/>
          <w:lang w:val="hy-AM"/>
        </w:rPr>
        <w:t>աճ</w:t>
      </w:r>
      <w:r w:rsidRPr="00A857DF">
        <w:rPr>
          <w:rFonts w:ascii="GHEA Grapalat" w:eastAsia="GHEA Grapalat" w:hAnsi="GHEA Grapalat" w:cs="GHEA Grapalat"/>
          <w:sz w:val="22"/>
          <w:szCs w:val="22"/>
          <w:lang w:val="hy-AM"/>
        </w:rPr>
        <w:t>. արտահանումն աճել է 72.8%</w:t>
      </w:r>
      <w:r w:rsidR="00287D4D" w:rsidRPr="00A857DF">
        <w:rPr>
          <w:rFonts w:ascii="GHEA Grapalat" w:eastAsia="GHEA Grapalat" w:hAnsi="GHEA Grapalat" w:cs="GHEA Grapalat"/>
          <w:sz w:val="22"/>
          <w:szCs w:val="22"/>
          <w:lang w:val="hy-AM"/>
        </w:rPr>
        <w:t>-ով</w:t>
      </w:r>
      <w:r w:rsidRPr="00A857DF">
        <w:rPr>
          <w:rFonts w:ascii="GHEA Grapalat" w:eastAsia="GHEA Grapalat" w:hAnsi="GHEA Grapalat" w:cs="GHEA Grapalat"/>
          <w:sz w:val="22"/>
          <w:szCs w:val="22"/>
          <w:lang w:val="hy-AM"/>
        </w:rPr>
        <w:t>` կազմելով 3,266.6 մլն ԱՄՆ դոլար, իսկ ներմուծումը` 73%-ով՝ կազմելով 5,633.1մլն ԱՄՆ դոլար: 2023 թվականի առաջին կիսամյակում ապրանքների գծով արտաքին առևտրի բացասական մնացորդը նախորդ տարվա նկատմամբ խորացել է (73.2%-ով) և կազմել -2,366.4 մլն ԱՄՆ դոլար:</w:t>
      </w:r>
    </w:p>
    <w:p w:rsidR="00D46844" w:rsidRPr="00A857DF" w:rsidRDefault="00D46844" w:rsidP="008C4940">
      <w:pPr>
        <w:spacing w:line="360" w:lineRule="auto"/>
        <w:ind w:firstLine="567"/>
        <w:jc w:val="both"/>
        <w:rPr>
          <w:rFonts w:ascii="GHEA Grapalat" w:eastAsia="GHEA Grapalat" w:hAnsi="GHEA Grapalat" w:cs="GHEA Grapalat"/>
          <w:sz w:val="22"/>
          <w:szCs w:val="22"/>
          <w:lang w:val="hy-AM"/>
        </w:rPr>
      </w:pPr>
    </w:p>
    <w:p w:rsidR="00001922" w:rsidRPr="00A857DF" w:rsidRDefault="00001922" w:rsidP="00D46844">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lang w:val="hy-AM"/>
        </w:rPr>
      </w:pPr>
      <w:r w:rsidRPr="00A857DF">
        <w:rPr>
          <w:rFonts w:ascii="GHEA Grapalat" w:hAnsi="GHEA Grapalat" w:cs="Sylfaen"/>
          <w:sz w:val="22"/>
          <w:szCs w:val="22"/>
          <w:lang w:val="hy-AM"/>
        </w:rPr>
        <w:t>Առևտրային հաշվեկշռի դինամիկան հունվար-հունիս ամիսներին (մլն ԱՄՆ դոլար)</w:t>
      </w:r>
      <w:r w:rsidRPr="00E57C0E">
        <w:rPr>
          <w:rFonts w:ascii="GHEA Grapalat" w:hAnsi="GHEA Grapalat" w:cs="Sylfaen"/>
          <w:sz w:val="22"/>
          <w:szCs w:val="22"/>
          <w:vertAlign w:val="superscript"/>
        </w:rPr>
        <w:footnoteReference w:id="17"/>
      </w:r>
    </w:p>
    <w:p w:rsidR="00001922" w:rsidRPr="00E57C0E" w:rsidRDefault="00001922" w:rsidP="00001922">
      <w:pPr>
        <w:keepNext/>
        <w:spacing w:line="336" w:lineRule="auto"/>
        <w:jc w:val="both"/>
        <w:rPr>
          <w:rFonts w:ascii="GHEA Grapalat" w:eastAsia="GHEA Grapalat" w:hAnsi="GHEA Grapalat" w:cs="GHEA Grapalat"/>
          <w:sz w:val="22"/>
          <w:szCs w:val="22"/>
        </w:rPr>
      </w:pPr>
      <w:r w:rsidRPr="00E57C0E">
        <w:rPr>
          <w:rFonts w:ascii="GHEA Grapalat" w:hAnsi="GHEA Grapalat"/>
          <w:noProof/>
        </w:rPr>
        <w:drawing>
          <wp:inline distT="0" distB="0" distL="0" distR="0" wp14:anchorId="1E8A287F" wp14:editId="354041BD">
            <wp:extent cx="6515100" cy="2385060"/>
            <wp:effectExtent l="0" t="0" r="0" b="15240"/>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C4940" w:rsidRPr="00E57C0E" w:rsidRDefault="008C4940" w:rsidP="00287D4D">
      <w:pPr>
        <w:spacing w:line="360" w:lineRule="auto"/>
        <w:ind w:firstLine="567"/>
        <w:jc w:val="both"/>
        <w:rPr>
          <w:rFonts w:ascii="GHEA Grapalat" w:eastAsia="GHEA Grapalat" w:hAnsi="GHEA Grapalat" w:cs="GHEA Grapalat"/>
          <w:sz w:val="22"/>
          <w:szCs w:val="22"/>
        </w:rPr>
      </w:pPr>
    </w:p>
    <w:p w:rsidR="00001922" w:rsidRPr="00E57C0E" w:rsidRDefault="00001922" w:rsidP="00287D4D">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sz w:val="22"/>
          <w:szCs w:val="22"/>
        </w:rPr>
        <w:t>Արտահանում:</w:t>
      </w:r>
      <w:r w:rsidRPr="00E57C0E">
        <w:rPr>
          <w:rFonts w:ascii="GHEA Grapalat" w:eastAsia="GHEA Grapalat" w:hAnsi="GHEA Grapalat" w:cs="GHEA Grapalat"/>
          <w:sz w:val="22"/>
          <w:szCs w:val="22"/>
        </w:rPr>
        <w:t xml:space="preserve"> 2023 թվականի առաջին կիսամյակում ապրանքների արտահանումն աճել է 72.8%</w:t>
      </w:r>
      <w:r w:rsidR="008C4940" w:rsidRPr="00E57C0E">
        <w:rPr>
          <w:rFonts w:ascii="GHEA Grapalat" w:eastAsia="GHEA Grapalat" w:hAnsi="GHEA Grapalat" w:cs="GHEA Grapalat"/>
          <w:sz w:val="22"/>
          <w:szCs w:val="22"/>
        </w:rPr>
        <w:t>-ով</w:t>
      </w:r>
      <w:r w:rsidRPr="00E57C0E">
        <w:rPr>
          <w:rFonts w:ascii="GHEA Grapalat" w:eastAsia="GHEA Grapalat" w:hAnsi="GHEA Grapalat" w:cs="GHEA Grapalat"/>
          <w:sz w:val="22"/>
          <w:szCs w:val="22"/>
        </w:rPr>
        <w:t>՝ պայմանավորված արտաքին որոշ շուկաներում (հատկապես՝ ՌԴ-ում) ՀՀ ապրանքների նկատմամբ պահանջարկի աճով, ինչպես նաև արտահանման ներուժի ավելացմամբ։</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Արտահանման աճին մեծ նպաստում է ունեցել իրական ծավալների շուրջ 26% աճը:</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 xml:space="preserve">Արտահանման աճին ապրանքախմբերի մեծամասնությունը դրական է նպաստել. մասնավորապես դրական են նպաստել «Մեքենաներ և սարքավորումներ» (26.4 տոկոսային կետով), «Թանկարժեք և կիսաթանկարժեք </w:t>
      </w:r>
      <w:r w:rsidRPr="00E57C0E">
        <w:rPr>
          <w:rFonts w:ascii="GHEA Grapalat" w:eastAsia="GHEA Grapalat" w:hAnsi="GHEA Grapalat" w:cs="GHEA Grapalat"/>
          <w:sz w:val="22"/>
          <w:szCs w:val="22"/>
        </w:rPr>
        <w:lastRenderedPageBreak/>
        <w:t xml:space="preserve">քարեր, թանկարժեք մետաղներ և դրանցից իրեր» (20.3 տոկոսային կետով), «Տրանսպորտային միջոցներ» (17.3 տոկոսային կետով), «Մանածագործական իրեր» (3.9 տոկոսային կետով), «Պատրաստի սննդի արտադրանք» (3.3 տոկոսային կետով) և այլն։ Բացասական նպաստում ունեցած ամենամեծ ապրանքախումբը «Հանքահումքային արտադրանքն» է (7.4 տոկոսային </w:t>
      </w:r>
      <w:proofErr w:type="gramStart"/>
      <w:r w:rsidRPr="00E57C0E">
        <w:rPr>
          <w:rFonts w:ascii="GHEA Grapalat" w:eastAsia="GHEA Grapalat" w:hAnsi="GHEA Grapalat" w:cs="GHEA Grapalat"/>
          <w:sz w:val="22"/>
          <w:szCs w:val="22"/>
        </w:rPr>
        <w:t>կետով)։</w:t>
      </w:r>
      <w:proofErr w:type="gramEnd"/>
    </w:p>
    <w:p w:rsidR="008C4940" w:rsidRPr="00E57C0E" w:rsidRDefault="008C4940" w:rsidP="00287D4D">
      <w:pPr>
        <w:spacing w:line="360" w:lineRule="auto"/>
        <w:ind w:firstLine="567"/>
        <w:jc w:val="both"/>
        <w:rPr>
          <w:rFonts w:ascii="GHEA Grapalat" w:eastAsia="GHEA Grapalat" w:hAnsi="GHEA Grapalat" w:cs="GHEA Grapalat"/>
          <w:sz w:val="22"/>
          <w:szCs w:val="22"/>
        </w:rPr>
      </w:pPr>
    </w:p>
    <w:p w:rsidR="00001922" w:rsidRPr="00E57C0E" w:rsidRDefault="00001922" w:rsidP="00D46844">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 xml:space="preserve">Ապրանքների արտահանման ամսական միտումները </w:t>
      </w:r>
      <w:r w:rsidR="008C4940" w:rsidRPr="00E57C0E">
        <w:rPr>
          <w:rFonts w:ascii="GHEA Grapalat" w:hAnsi="GHEA Grapalat" w:cs="Sylfaen"/>
          <w:sz w:val="22"/>
          <w:szCs w:val="22"/>
        </w:rPr>
        <w:t>2023 թվականի հունվար-</w:t>
      </w:r>
      <w:r w:rsidRPr="00E57C0E">
        <w:rPr>
          <w:rFonts w:ascii="GHEA Grapalat" w:hAnsi="GHEA Grapalat" w:cs="Sylfaen"/>
          <w:sz w:val="22"/>
          <w:szCs w:val="22"/>
        </w:rPr>
        <w:t>հունիս ամիսներին</w:t>
      </w:r>
    </w:p>
    <w:p w:rsidR="00287D4D" w:rsidRPr="00E57C0E" w:rsidRDefault="00001922" w:rsidP="00001922">
      <w:pPr>
        <w:keepNext/>
        <w:spacing w:after="120" w:line="276" w:lineRule="auto"/>
        <w:ind w:right="-284"/>
        <w:rPr>
          <w:rFonts w:ascii="GHEA Grapalat" w:eastAsia="GHEA Grapalat" w:hAnsi="GHEA Grapalat" w:cs="GHEA Grapalat"/>
          <w:i/>
          <w:color w:val="000000"/>
          <w:sz w:val="18"/>
          <w:szCs w:val="18"/>
        </w:rPr>
      </w:pPr>
      <w:r w:rsidRPr="00E57C0E">
        <w:rPr>
          <w:rFonts w:ascii="GHEA Grapalat" w:hAnsi="GHEA Grapalat"/>
          <w:noProof/>
          <w:sz w:val="22"/>
          <w:szCs w:val="22"/>
        </w:rPr>
        <w:drawing>
          <wp:inline distT="0" distB="0" distL="0" distR="0" wp14:anchorId="7D26D2F0" wp14:editId="557734E0">
            <wp:extent cx="3276000" cy="2232000"/>
            <wp:effectExtent l="0" t="0" r="635" b="165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57C0E">
        <w:rPr>
          <w:rFonts w:ascii="GHEA Grapalat" w:eastAsia="Calibri" w:hAnsi="GHEA Grapalat"/>
          <w:i/>
          <w:noProof/>
          <w:sz w:val="22"/>
          <w:szCs w:val="22"/>
        </w:rPr>
        <w:drawing>
          <wp:inline distT="0" distB="0" distL="0" distR="0" wp14:anchorId="59346099" wp14:editId="496AA4A6">
            <wp:extent cx="3276000" cy="2235600"/>
            <wp:effectExtent l="0" t="0" r="635"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01922" w:rsidRPr="00E57C0E" w:rsidRDefault="00001922" w:rsidP="00001922">
      <w:pPr>
        <w:keepNext/>
        <w:spacing w:after="120" w:line="276" w:lineRule="auto"/>
        <w:ind w:right="-284"/>
        <w:rPr>
          <w:rFonts w:ascii="GHEA Grapalat" w:eastAsia="GHEA Grapalat" w:hAnsi="GHEA Grapalat" w:cs="GHEA Grapalat"/>
          <w:b/>
          <w:i/>
          <w:sz w:val="22"/>
          <w:szCs w:val="22"/>
        </w:rPr>
      </w:pPr>
      <w:r w:rsidRPr="00E57C0E">
        <w:rPr>
          <w:rFonts w:ascii="GHEA Grapalat" w:eastAsia="GHEA Grapalat" w:hAnsi="GHEA Grapalat" w:cs="GHEA Grapalat"/>
          <w:i/>
          <w:color w:val="000000"/>
          <w:sz w:val="18"/>
          <w:szCs w:val="18"/>
        </w:rPr>
        <w:t>Աղբյուրը՝ ՀՀ</w:t>
      </w:r>
      <w:r w:rsidR="008B7237" w:rsidRPr="00E57C0E">
        <w:rPr>
          <w:rFonts w:ascii="GHEA Grapalat" w:eastAsia="GHEA Grapalat" w:hAnsi="GHEA Grapalat" w:cs="GHEA Grapalat"/>
          <w:i/>
          <w:color w:val="000000"/>
          <w:sz w:val="18"/>
          <w:szCs w:val="18"/>
        </w:rPr>
        <w:t xml:space="preserve"> </w:t>
      </w:r>
      <w:r w:rsidRPr="00E57C0E">
        <w:rPr>
          <w:rFonts w:ascii="GHEA Grapalat" w:eastAsia="GHEA Grapalat" w:hAnsi="GHEA Grapalat" w:cs="GHEA Grapalat"/>
          <w:i/>
          <w:color w:val="000000"/>
          <w:sz w:val="18"/>
          <w:szCs w:val="18"/>
        </w:rPr>
        <w:t>ՎԿ և ՀՀ ՖՆ հաշվարկներ</w:t>
      </w:r>
    </w:p>
    <w:p w:rsidR="007A08CC" w:rsidRPr="00E57C0E" w:rsidRDefault="007A08CC" w:rsidP="00287D4D">
      <w:pPr>
        <w:spacing w:line="360" w:lineRule="auto"/>
        <w:ind w:firstLine="567"/>
        <w:jc w:val="both"/>
        <w:rPr>
          <w:rFonts w:ascii="GHEA Grapalat" w:eastAsia="GHEA Grapalat" w:hAnsi="GHEA Grapalat" w:cs="GHEA Grapalat"/>
          <w:sz w:val="22"/>
          <w:szCs w:val="22"/>
        </w:rPr>
      </w:pPr>
    </w:p>
    <w:p w:rsidR="00001922" w:rsidRPr="00E57C0E" w:rsidRDefault="00001922" w:rsidP="00287D4D">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sz w:val="22"/>
          <w:szCs w:val="22"/>
        </w:rPr>
        <w:t>Ներմուծում:</w:t>
      </w:r>
      <w:r w:rsidRPr="00E57C0E">
        <w:rPr>
          <w:rFonts w:ascii="GHEA Grapalat" w:eastAsia="GHEA Grapalat" w:hAnsi="GHEA Grapalat" w:cs="GHEA Grapalat"/>
          <w:b/>
          <w:sz w:val="22"/>
          <w:szCs w:val="22"/>
        </w:rPr>
        <w:t xml:space="preserve"> </w:t>
      </w:r>
      <w:r w:rsidRPr="00E57C0E">
        <w:rPr>
          <w:rFonts w:ascii="GHEA Grapalat" w:eastAsia="GHEA Grapalat" w:hAnsi="GHEA Grapalat" w:cs="GHEA Grapalat"/>
          <w:sz w:val="22"/>
          <w:szCs w:val="22"/>
        </w:rPr>
        <w:t>2023 թվականի առաջին կիսամյակում արձանագրվել է ներմուծման բարձր երկնիշ աճ՝ պայմանավորված բարձր տնտեսական ակտիվության, պահանջարկի բարձր աճի և արտահանման հնարավորությունների մեծացման պայմաններում ներմուծվող ապրանքների բարձր պահանջարկով: 2023 թվականի առաջին կիսամյակում դոլարային արտահայտությամբ ապրանքների ներմուծման ծավալ</w:t>
      </w:r>
      <w:r w:rsidR="007A08CC" w:rsidRPr="00E57C0E">
        <w:rPr>
          <w:rFonts w:ascii="GHEA Grapalat" w:eastAsia="GHEA Grapalat" w:hAnsi="GHEA Grapalat" w:cs="GHEA Grapalat"/>
          <w:sz w:val="22"/>
          <w:szCs w:val="22"/>
        </w:rPr>
        <w:t>ն</w:t>
      </w:r>
      <w:r w:rsidRPr="00E57C0E">
        <w:rPr>
          <w:rFonts w:ascii="GHEA Grapalat" w:eastAsia="GHEA Grapalat" w:hAnsi="GHEA Grapalat" w:cs="GHEA Grapalat"/>
          <w:sz w:val="22"/>
          <w:szCs w:val="22"/>
        </w:rPr>
        <w:t xml:space="preserve"> աճել է 73%-ով՝ կազմելով 2583.3 մլն դոլար: Ընդ որում՝ գրանցվել է իրական ծավալների շուրջ 60.8% աճ, իսկ ներմուծվող ապրանքների գները նվազել են:</w:t>
      </w:r>
    </w:p>
    <w:p w:rsidR="007A08CC" w:rsidRPr="00E57C0E" w:rsidRDefault="007A08CC" w:rsidP="00287D4D">
      <w:pPr>
        <w:spacing w:line="360" w:lineRule="auto"/>
        <w:ind w:firstLine="567"/>
        <w:jc w:val="both"/>
        <w:rPr>
          <w:rFonts w:ascii="GHEA Grapalat" w:eastAsia="GHEA Grapalat" w:hAnsi="GHEA Grapalat" w:cs="GHEA Grapalat"/>
          <w:sz w:val="22"/>
          <w:szCs w:val="22"/>
        </w:rPr>
      </w:pPr>
    </w:p>
    <w:p w:rsidR="00001922" w:rsidRPr="00E57C0E" w:rsidRDefault="00001922" w:rsidP="00D46844">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lastRenderedPageBreak/>
        <w:t>Ապրանքների ներմուծման ամսական միտումները 2023 թվականի հունվար-հունիս ամիսներին</w:t>
      </w:r>
    </w:p>
    <w:p w:rsidR="003A2AC5" w:rsidRPr="00E57C0E" w:rsidRDefault="00001922" w:rsidP="00001922">
      <w:pPr>
        <w:spacing w:before="120" w:line="360" w:lineRule="auto"/>
        <w:jc w:val="both"/>
        <w:rPr>
          <w:rFonts w:ascii="GHEA Grapalat" w:eastAsia="GHEA Grapalat" w:hAnsi="GHEA Grapalat" w:cs="GHEA Grapalat"/>
          <w:sz w:val="22"/>
          <w:szCs w:val="22"/>
        </w:rPr>
      </w:pPr>
      <w:r w:rsidRPr="00E57C0E">
        <w:rPr>
          <w:rFonts w:ascii="GHEA Grapalat" w:hAnsi="GHEA Grapalat"/>
          <w:noProof/>
          <w:sz w:val="22"/>
          <w:szCs w:val="22"/>
        </w:rPr>
        <w:drawing>
          <wp:inline distT="0" distB="0" distL="0" distR="0" wp14:anchorId="1B3B50B2" wp14:editId="4D936EB7">
            <wp:extent cx="3286125" cy="22098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57C0E">
        <w:rPr>
          <w:rFonts w:ascii="GHEA Grapalat" w:eastAsia="GHEA Grapalat" w:hAnsi="GHEA Grapalat" w:cs="GHEA Grapalat"/>
          <w:sz w:val="22"/>
          <w:szCs w:val="22"/>
        </w:rPr>
        <w:t xml:space="preserve"> </w:t>
      </w:r>
      <w:r w:rsidRPr="00E57C0E">
        <w:rPr>
          <w:rFonts w:ascii="GHEA Grapalat" w:eastAsia="Calibri" w:hAnsi="GHEA Grapalat"/>
          <w:i/>
          <w:noProof/>
          <w:sz w:val="22"/>
          <w:szCs w:val="22"/>
        </w:rPr>
        <w:drawing>
          <wp:inline distT="0" distB="0" distL="0" distR="0" wp14:anchorId="2C0B4935" wp14:editId="48045137">
            <wp:extent cx="3095625" cy="21907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1922" w:rsidRPr="00E57C0E" w:rsidRDefault="00001922" w:rsidP="00001922">
      <w:pPr>
        <w:spacing w:before="120" w:line="360" w:lineRule="auto"/>
        <w:jc w:val="both"/>
        <w:rPr>
          <w:rFonts w:ascii="GHEA Grapalat" w:eastAsia="GHEA Grapalat" w:hAnsi="GHEA Grapalat" w:cs="GHEA Grapalat"/>
          <w:sz w:val="22"/>
          <w:szCs w:val="22"/>
        </w:rPr>
      </w:pPr>
      <w:r w:rsidRPr="00E57C0E">
        <w:rPr>
          <w:rFonts w:ascii="GHEA Grapalat" w:eastAsia="GHEA Grapalat" w:hAnsi="GHEA Grapalat" w:cs="GHEA Grapalat"/>
          <w:i/>
          <w:color w:val="000000"/>
          <w:sz w:val="18"/>
          <w:szCs w:val="18"/>
        </w:rPr>
        <w:t>Աղբյուրը՝ ՀՀ</w:t>
      </w:r>
      <w:r w:rsidR="008B7237" w:rsidRPr="00E57C0E">
        <w:rPr>
          <w:rFonts w:ascii="GHEA Grapalat" w:eastAsia="GHEA Grapalat" w:hAnsi="GHEA Grapalat" w:cs="GHEA Grapalat"/>
          <w:i/>
          <w:color w:val="000000"/>
          <w:sz w:val="18"/>
          <w:szCs w:val="18"/>
        </w:rPr>
        <w:t xml:space="preserve"> </w:t>
      </w:r>
      <w:r w:rsidRPr="00E57C0E">
        <w:rPr>
          <w:rFonts w:ascii="GHEA Grapalat" w:eastAsia="GHEA Grapalat" w:hAnsi="GHEA Grapalat" w:cs="GHEA Grapalat"/>
          <w:i/>
          <w:color w:val="000000"/>
          <w:sz w:val="18"/>
          <w:szCs w:val="18"/>
        </w:rPr>
        <w:t>ՎԿ և ՀՀ ՖՆ հաշվարկներ</w:t>
      </w:r>
    </w:p>
    <w:p w:rsidR="003A2AC5" w:rsidRPr="00E57C0E" w:rsidRDefault="003A2AC5" w:rsidP="00001922">
      <w:pPr>
        <w:spacing w:line="360" w:lineRule="auto"/>
        <w:ind w:firstLine="567"/>
        <w:jc w:val="both"/>
        <w:rPr>
          <w:rFonts w:ascii="GHEA Grapalat" w:eastAsia="GHEA Grapalat" w:hAnsi="GHEA Grapalat" w:cs="GHEA Grapalat"/>
          <w:sz w:val="22"/>
          <w:szCs w:val="22"/>
        </w:rPr>
      </w:pPr>
    </w:p>
    <w:p w:rsidR="00001922" w:rsidRPr="00E57C0E" w:rsidRDefault="00001922" w:rsidP="00001922">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2023 թվականի առաջին կիսմայակում գրեթե բոլոր ապրանքախմբերում արձանագրվել է ներմուծման դոլարային արտահայտությամբ ծավալների աճ: Աճին ամենամեծ նպաստումն են ունեցել «Տրանսպորտի միջոցներ»</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(25.3 տոկոսային կետ), «Մեքենաներ, սարքավորումներ և մեխանիզմներ» (21.1 տոկոսային կետ), «Թանկարժեք և կիսաթանկարժեք քարեր, թանկարժեք մետաղներ և դրանցից իրեր» (13.2 տոկոսային կետ) և «Մանածագործական իրեր» (3.9 տոկոսային կետ) ապրանքախմբերը</w:t>
      </w:r>
      <w:r w:rsidRPr="00E57C0E">
        <w:rPr>
          <w:rFonts w:ascii="GHEA Grapalat" w:eastAsia="GHEA Grapalat" w:hAnsi="GHEA Grapalat" w:cs="GHEA Grapalat"/>
          <w:sz w:val="22"/>
          <w:szCs w:val="22"/>
          <w:vertAlign w:val="superscript"/>
        </w:rPr>
        <w:footnoteReference w:id="18"/>
      </w:r>
      <w:r w:rsidRPr="00E57C0E">
        <w:rPr>
          <w:rFonts w:ascii="GHEA Grapalat" w:eastAsia="GHEA Grapalat" w:hAnsi="GHEA Grapalat" w:cs="GHEA Grapalat"/>
          <w:sz w:val="22"/>
          <w:szCs w:val="22"/>
        </w:rPr>
        <w:t>։</w:t>
      </w:r>
    </w:p>
    <w:p w:rsidR="00001922" w:rsidRPr="00E57C0E" w:rsidRDefault="00001922" w:rsidP="00001922">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Էական բացասական նպաստում ունեցած խումբը «Հանքահումքային արտադրանքն» է, որը ներմուծման աճին հակազդել է 0.7 տոկոսային կետով։</w:t>
      </w:r>
    </w:p>
    <w:p w:rsidR="00001922" w:rsidRPr="00E57C0E" w:rsidRDefault="00001922" w:rsidP="00001922">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 xml:space="preserve"> Ըստ ապրանքների լայն տնտեսական դասակարգման</w:t>
      </w:r>
      <w:r w:rsidRPr="00E57C0E">
        <w:rPr>
          <w:rFonts w:ascii="GHEA Grapalat" w:eastAsia="GHEA Grapalat" w:hAnsi="GHEA Grapalat" w:cs="GHEA Grapalat"/>
          <w:sz w:val="22"/>
          <w:szCs w:val="22"/>
          <w:vertAlign w:val="superscript"/>
        </w:rPr>
        <w:footnoteReference w:id="19"/>
      </w:r>
      <w:r w:rsidR="003A2AC5" w:rsidRPr="00E57C0E">
        <w:rPr>
          <w:rFonts w:ascii="GHEA Grapalat" w:eastAsia="GHEA Grapalat" w:hAnsi="GHEA Grapalat" w:cs="GHEA Grapalat"/>
          <w:sz w:val="22"/>
          <w:szCs w:val="22"/>
        </w:rPr>
        <w:t>՝</w:t>
      </w:r>
      <w:r w:rsidRPr="00E57C0E">
        <w:rPr>
          <w:rFonts w:ascii="GHEA Grapalat" w:eastAsia="GHEA Grapalat" w:hAnsi="GHEA Grapalat" w:cs="GHEA Grapalat"/>
          <w:sz w:val="22"/>
          <w:szCs w:val="22"/>
        </w:rPr>
        <w:t xml:space="preserve"> ներմուծման աճին նպաստել են «Կապիտալ ապրանքները» (21.0 տոկոսային կետով), «Միջանկյալ սպառման ապրանքները» (19.8 տոկոսային կետով, այդ թվում՝ արդյունաբերական մատակարարումները՝ 18.1 տոկոսային կետով), «Մարդատար ավտոմեքենաները» (19.6 տոկոսային կետով)</w:t>
      </w:r>
      <w:r w:rsidRPr="00E57C0E">
        <w:rPr>
          <w:rFonts w:ascii="GHEA Grapalat" w:eastAsia="GHEA Grapalat" w:hAnsi="GHEA Grapalat" w:cs="GHEA Grapalat"/>
          <w:sz w:val="22"/>
          <w:szCs w:val="22"/>
          <w:vertAlign w:val="superscript"/>
        </w:rPr>
        <w:footnoteReference w:id="20"/>
      </w:r>
      <w:r w:rsidRPr="00E57C0E">
        <w:rPr>
          <w:rFonts w:ascii="GHEA Grapalat" w:eastAsia="GHEA Grapalat" w:hAnsi="GHEA Grapalat" w:cs="GHEA Grapalat"/>
          <w:sz w:val="22"/>
          <w:szCs w:val="22"/>
        </w:rPr>
        <w:t xml:space="preserve"> և «Վերջնական սպառման ապրանքները» (12.5 տոկոսային կետով)։</w:t>
      </w:r>
    </w:p>
    <w:p w:rsidR="00001922" w:rsidRPr="00E57C0E" w:rsidRDefault="00001922" w:rsidP="00287D4D">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sz w:val="22"/>
          <w:szCs w:val="22"/>
        </w:rPr>
        <w:t>Արտաքին առևտուրն ըստ գործընկեր երկրների:</w:t>
      </w:r>
      <w:r w:rsidRPr="00E57C0E">
        <w:rPr>
          <w:rFonts w:ascii="GHEA Grapalat" w:eastAsia="GHEA Grapalat" w:hAnsi="GHEA Grapalat" w:cs="GHEA Grapalat"/>
          <w:i/>
          <w:sz w:val="22"/>
          <w:szCs w:val="22"/>
        </w:rPr>
        <w:t xml:space="preserve"> </w:t>
      </w:r>
      <w:r w:rsidRPr="00E57C0E">
        <w:rPr>
          <w:rFonts w:ascii="GHEA Grapalat" w:eastAsia="GHEA Grapalat" w:hAnsi="GHEA Grapalat" w:cs="GHEA Grapalat"/>
          <w:sz w:val="22"/>
          <w:szCs w:val="22"/>
        </w:rPr>
        <w:t xml:space="preserve">2023 թվականի առաջին կիսամյակում արտաքին առևտրաշրջանառության աշխարհագրական կառուցվածքը կրել է որոշակի փոփոխություն։ Արտաքին առևտրի կառուցվածքում ԵԱՏՄ-ի և այլ երկրների դերը բարձրացել է, իսկ </w:t>
      </w:r>
      <w:r w:rsidRPr="00E57C0E">
        <w:rPr>
          <w:rFonts w:ascii="GHEA Grapalat" w:eastAsia="GHEA Grapalat" w:hAnsi="GHEA Grapalat" w:cs="GHEA Grapalat"/>
          <w:sz w:val="22"/>
          <w:szCs w:val="22"/>
        </w:rPr>
        <w:lastRenderedPageBreak/>
        <w:t>ԵՄ-ի երկրների դերը՝ նվազել։ ՀՀ արտաքին առևտրաշրջանառության 37%-ը բաժին է ընկել ԱՊՀ (որից 36.1</w:t>
      </w:r>
      <w:r w:rsidR="00B915A7" w:rsidRPr="00E57C0E">
        <w:rPr>
          <w:rFonts w:ascii="GHEA Grapalat" w:eastAsia="GHEA Grapalat" w:hAnsi="GHEA Grapalat" w:cs="GHEA Grapalat"/>
          <w:sz w:val="22"/>
          <w:szCs w:val="22"/>
        </w:rPr>
        <w:t xml:space="preserve"> տոկոս</w:t>
      </w:r>
      <w:r w:rsidRPr="00E57C0E">
        <w:rPr>
          <w:rFonts w:ascii="GHEA Grapalat" w:eastAsia="GHEA Grapalat" w:hAnsi="GHEA Grapalat" w:cs="GHEA Grapalat"/>
          <w:sz w:val="22"/>
          <w:szCs w:val="22"/>
        </w:rPr>
        <w:t xml:space="preserve">ային կետը` ԵԱՏՄ), 15.9%-ը` ԵՄ և 47.1%-ը` այլ երկրներին: ՀՀ արտաքին առևտրաշրջանառության մեջ ԱՊՀ երկրների </w:t>
      </w:r>
      <w:r w:rsidR="00B915A7" w:rsidRPr="00E57C0E">
        <w:rPr>
          <w:rFonts w:ascii="GHEA Grapalat" w:eastAsia="GHEA Grapalat" w:hAnsi="GHEA Grapalat" w:cs="GHEA Grapalat"/>
          <w:sz w:val="22"/>
          <w:szCs w:val="22"/>
        </w:rPr>
        <w:t>կշիռն</w:t>
      </w:r>
      <w:r w:rsidRPr="00E57C0E">
        <w:rPr>
          <w:rFonts w:ascii="GHEA Grapalat" w:eastAsia="GHEA Grapalat" w:hAnsi="GHEA Grapalat" w:cs="GHEA Grapalat"/>
          <w:sz w:val="22"/>
          <w:szCs w:val="22"/>
        </w:rPr>
        <w:t xml:space="preserve"> ավելացել է 2.2</w:t>
      </w:r>
      <w:r w:rsidR="00B915A7" w:rsidRPr="00E57C0E">
        <w:rPr>
          <w:rFonts w:ascii="GHEA Grapalat" w:eastAsia="GHEA Grapalat" w:hAnsi="GHEA Grapalat" w:cs="GHEA Grapalat"/>
          <w:sz w:val="22"/>
          <w:szCs w:val="22"/>
        </w:rPr>
        <w:t xml:space="preserve"> տոկոս</w:t>
      </w:r>
      <w:r w:rsidRPr="00E57C0E">
        <w:rPr>
          <w:rFonts w:ascii="GHEA Grapalat" w:eastAsia="GHEA Grapalat" w:hAnsi="GHEA Grapalat" w:cs="GHEA Grapalat"/>
          <w:sz w:val="22"/>
          <w:szCs w:val="22"/>
        </w:rPr>
        <w:t xml:space="preserve">ային կետով, ԵԱՏՄ-ն՝ </w:t>
      </w:r>
      <w:proofErr w:type="gramStart"/>
      <w:r w:rsidRPr="00E57C0E">
        <w:rPr>
          <w:rFonts w:ascii="GHEA Grapalat" w:eastAsia="GHEA Grapalat" w:hAnsi="GHEA Grapalat" w:cs="GHEA Grapalat"/>
          <w:sz w:val="22"/>
          <w:szCs w:val="22"/>
        </w:rPr>
        <w:t>2.5</w:t>
      </w:r>
      <w:r w:rsidR="00B915A7" w:rsidRPr="00E57C0E">
        <w:rPr>
          <w:rFonts w:ascii="GHEA Grapalat" w:eastAsia="GHEA Grapalat" w:hAnsi="GHEA Grapalat" w:cs="GHEA Grapalat"/>
          <w:sz w:val="22"/>
          <w:szCs w:val="22"/>
        </w:rPr>
        <w:t xml:space="preserve">  տոկոս</w:t>
      </w:r>
      <w:r w:rsidRPr="00E57C0E">
        <w:rPr>
          <w:rFonts w:ascii="GHEA Grapalat" w:eastAsia="GHEA Grapalat" w:hAnsi="GHEA Grapalat" w:cs="GHEA Grapalat"/>
          <w:sz w:val="22"/>
          <w:szCs w:val="22"/>
        </w:rPr>
        <w:t>ային</w:t>
      </w:r>
      <w:proofErr w:type="gramEnd"/>
      <w:r w:rsidRPr="00E57C0E">
        <w:rPr>
          <w:rFonts w:ascii="GHEA Grapalat" w:eastAsia="GHEA Grapalat" w:hAnsi="GHEA Grapalat" w:cs="GHEA Grapalat"/>
          <w:sz w:val="22"/>
          <w:szCs w:val="22"/>
        </w:rPr>
        <w:t xml:space="preserve"> կետով (ՌԴ՝ 2.6 ) և այլ երկրներինը՝ 0.9</w:t>
      </w:r>
      <w:r w:rsidR="00B915A7" w:rsidRPr="00E57C0E">
        <w:rPr>
          <w:rFonts w:ascii="GHEA Grapalat" w:eastAsia="GHEA Grapalat" w:hAnsi="GHEA Grapalat" w:cs="GHEA Grapalat"/>
          <w:sz w:val="22"/>
          <w:szCs w:val="22"/>
        </w:rPr>
        <w:t xml:space="preserve"> տոկոս</w:t>
      </w:r>
      <w:r w:rsidRPr="00E57C0E">
        <w:rPr>
          <w:rFonts w:ascii="GHEA Grapalat" w:eastAsia="GHEA Grapalat" w:hAnsi="GHEA Grapalat" w:cs="GHEA Grapalat"/>
          <w:sz w:val="22"/>
          <w:szCs w:val="22"/>
        </w:rPr>
        <w:t xml:space="preserve">ային կետով, իսկ ԵՄ-ի </w:t>
      </w:r>
      <w:r w:rsidR="006F7AD1" w:rsidRPr="00E57C0E">
        <w:rPr>
          <w:rFonts w:ascii="GHEA Grapalat" w:eastAsia="GHEA Grapalat" w:hAnsi="GHEA Grapalat" w:cs="GHEA Grapalat"/>
          <w:sz w:val="22"/>
          <w:szCs w:val="22"/>
        </w:rPr>
        <w:t>կշիռ</w:t>
      </w:r>
      <w:r w:rsidRPr="00E57C0E">
        <w:rPr>
          <w:rFonts w:ascii="GHEA Grapalat" w:eastAsia="GHEA Grapalat" w:hAnsi="GHEA Grapalat" w:cs="GHEA Grapalat"/>
          <w:sz w:val="22"/>
          <w:szCs w:val="22"/>
        </w:rPr>
        <w:t xml:space="preserve">ը նվազել </w:t>
      </w:r>
      <w:r w:rsidR="006F7AD1" w:rsidRPr="00E57C0E">
        <w:rPr>
          <w:rFonts w:ascii="GHEA Grapalat" w:eastAsia="GHEA Grapalat" w:hAnsi="GHEA Grapalat" w:cs="GHEA Grapalat"/>
          <w:sz w:val="22"/>
          <w:szCs w:val="22"/>
        </w:rPr>
        <w:t>է</w:t>
      </w:r>
      <w:r w:rsidRPr="00E57C0E">
        <w:rPr>
          <w:rFonts w:ascii="GHEA Grapalat" w:eastAsia="GHEA Grapalat" w:hAnsi="GHEA Grapalat" w:cs="GHEA Grapalat"/>
          <w:sz w:val="22"/>
          <w:szCs w:val="22"/>
        </w:rPr>
        <w:t xml:space="preserve"> 3.1</w:t>
      </w:r>
      <w:r w:rsidR="00B915A7" w:rsidRPr="00E57C0E">
        <w:rPr>
          <w:rFonts w:ascii="GHEA Grapalat" w:eastAsia="GHEA Grapalat" w:hAnsi="GHEA Grapalat" w:cs="GHEA Grapalat"/>
          <w:sz w:val="22"/>
          <w:szCs w:val="22"/>
        </w:rPr>
        <w:t xml:space="preserve"> </w:t>
      </w:r>
      <w:r w:rsidR="006F7AD1" w:rsidRPr="00E57C0E">
        <w:rPr>
          <w:rFonts w:ascii="GHEA Grapalat" w:eastAsia="GHEA Grapalat" w:hAnsi="GHEA Grapalat" w:cs="GHEA Grapalat"/>
          <w:sz w:val="22"/>
          <w:szCs w:val="22"/>
        </w:rPr>
        <w:t>տոկոս</w:t>
      </w:r>
      <w:r w:rsidRPr="00E57C0E">
        <w:rPr>
          <w:rFonts w:ascii="GHEA Grapalat" w:eastAsia="GHEA Grapalat" w:hAnsi="GHEA Grapalat" w:cs="GHEA Grapalat"/>
          <w:sz w:val="22"/>
          <w:szCs w:val="22"/>
        </w:rPr>
        <w:t>ային կետով։</w:t>
      </w:r>
    </w:p>
    <w:p w:rsidR="00001922" w:rsidRPr="00E57C0E" w:rsidRDefault="00001922" w:rsidP="00287D4D">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ՀՀ խոշոր առևտրային գործընկեր ՌԴ-ի հետ առևտրաշրջանառության ծավալները հաշվետու ժամանակաշրջանում սկսել են արագանալ, մասնավորապես՝ հաշվետու ժամանակահատվածում արտահանումը դեպի ՌԴ աճել է 3 անգամ, իսկ ՌԴ-ից ներմուծումը` 28.6%-ով: 2023 թվականի առաջին կիսամյակում ՌԴ-ի կշիռը կազմել է ՀՀ առևտրաշրջանառության 34.6%-ը: ՀՀ խոշոր առևտրային գործընկերների շրջանակում ընդգրկված են նաև Չինաստանը (11.4%), Արաբական Միացյալ Էմիրություններ</w:t>
      </w:r>
      <w:r w:rsidR="00ED2C32" w:rsidRPr="00E57C0E">
        <w:rPr>
          <w:rFonts w:ascii="GHEA Grapalat" w:eastAsia="GHEA Grapalat" w:hAnsi="GHEA Grapalat" w:cs="GHEA Grapalat"/>
          <w:sz w:val="22"/>
          <w:szCs w:val="22"/>
        </w:rPr>
        <w:t>ը</w:t>
      </w:r>
      <w:r w:rsidRPr="00E57C0E">
        <w:rPr>
          <w:rFonts w:ascii="GHEA Grapalat" w:eastAsia="GHEA Grapalat" w:hAnsi="GHEA Grapalat" w:cs="GHEA Grapalat"/>
          <w:sz w:val="22"/>
          <w:szCs w:val="22"/>
        </w:rPr>
        <w:t xml:space="preserve"> (5.6%), ԱՄՆ-ն (4.4%),</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Իրանը (3.9%), Գերմանիան (3.9%) և այլն:</w:t>
      </w:r>
    </w:p>
    <w:p w:rsidR="00001922" w:rsidRPr="00E57C0E" w:rsidRDefault="00001922" w:rsidP="00ED2C32">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sz w:val="22"/>
          <w:szCs w:val="22"/>
        </w:rPr>
        <w:t>Զբոսաշրջություն:</w:t>
      </w:r>
      <w:r w:rsidRPr="00E57C0E">
        <w:rPr>
          <w:rFonts w:ascii="GHEA Grapalat" w:eastAsia="GHEA Grapalat" w:hAnsi="GHEA Grapalat" w:cs="GHEA Grapalat"/>
          <w:b/>
          <w:sz w:val="22"/>
          <w:szCs w:val="22"/>
        </w:rPr>
        <w:t xml:space="preserve"> </w:t>
      </w:r>
      <w:r w:rsidRPr="00E57C0E">
        <w:rPr>
          <w:rFonts w:ascii="GHEA Grapalat" w:eastAsia="GHEA Grapalat" w:hAnsi="GHEA Grapalat" w:cs="GHEA Grapalat"/>
          <w:sz w:val="22"/>
          <w:szCs w:val="22"/>
        </w:rPr>
        <w:t>2023 թվականի հունվար-հունիս ամիսներին ՀՀ այցելած և ՀՀ-ից մեկնած զբոսաշրջիկների թվաքանակը նախորդ տարվա նույն ժամանակահատվածի համեմատ կտրուկ ավելացել է:</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2023</w:t>
      </w:r>
      <w:r w:rsidR="0014126A" w:rsidRPr="00E57C0E">
        <w:rPr>
          <w:rFonts w:ascii="GHEA Grapalat" w:eastAsia="GHEA Grapalat" w:hAnsi="GHEA Grapalat" w:cs="GHEA Grapalat"/>
          <w:sz w:val="22"/>
          <w:szCs w:val="22"/>
        </w:rPr>
        <w:t xml:space="preserve"> թվականի</w:t>
      </w:r>
      <w:r w:rsidRPr="00E57C0E">
        <w:rPr>
          <w:rFonts w:ascii="GHEA Grapalat" w:eastAsia="GHEA Grapalat" w:hAnsi="GHEA Grapalat" w:cs="GHEA Grapalat"/>
          <w:sz w:val="22"/>
          <w:szCs w:val="22"/>
        </w:rPr>
        <w:t xml:space="preserve"> առաջին կիսամյակում ՀՀ այցելած զբոսաշրջիկների թվաքանակը հատել է մեկ միլիոնի շեմը,</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նախորդ տարվա նույն կիսամյակի նկատմամբ աճելով 70.3%</w:t>
      </w:r>
      <w:r w:rsidR="00ED2C32" w:rsidRPr="00E57C0E">
        <w:rPr>
          <w:rFonts w:ascii="GHEA Grapalat" w:eastAsia="GHEA Grapalat" w:hAnsi="GHEA Grapalat" w:cs="GHEA Grapalat"/>
          <w:sz w:val="22"/>
          <w:szCs w:val="22"/>
        </w:rPr>
        <w:t>-ով</w:t>
      </w:r>
      <w:r w:rsidRPr="00E57C0E">
        <w:rPr>
          <w:rFonts w:ascii="GHEA Grapalat" w:eastAsia="GHEA Grapalat" w:hAnsi="GHEA Grapalat" w:cs="GHEA Grapalat"/>
          <w:sz w:val="22"/>
          <w:szCs w:val="22"/>
        </w:rPr>
        <w:t xml:space="preserve"> (շուրջ 414 հազար մարդով), որին ՌԴ զբոսաշրջիկների (շուրջ 518 հազար մարդ) նպաստումը կազմել է շուրջ</w:t>
      </w:r>
      <w:r w:rsidR="00ED2C32" w:rsidRPr="00E57C0E">
        <w:rPr>
          <w:rFonts w:ascii="GHEA Grapalat" w:eastAsia="GHEA Grapalat" w:hAnsi="GHEA Grapalat" w:cs="GHEA Grapalat"/>
          <w:sz w:val="22"/>
          <w:szCs w:val="22"/>
        </w:rPr>
        <w:t xml:space="preserve"> 46.9 տոկոս</w:t>
      </w:r>
      <w:r w:rsidRPr="00E57C0E">
        <w:rPr>
          <w:rFonts w:ascii="GHEA Grapalat" w:eastAsia="GHEA Grapalat" w:hAnsi="GHEA Grapalat" w:cs="GHEA Grapalat"/>
          <w:sz w:val="22"/>
          <w:szCs w:val="22"/>
        </w:rPr>
        <w:t xml:space="preserve">ային կետ: Իսկ ՀՀ-ից մեկնած զբոսաշրջիկների թվաքանակը կազմել է ավելի քան 679 հազար մարդ՝ նախորդ տարվա նույն կիսամյակի նկատմամբ աճելով 97.7%-ով (կամ շուրջ 336 հազար մարդով): </w:t>
      </w:r>
    </w:p>
    <w:p w:rsidR="00001922" w:rsidRPr="00E57C0E" w:rsidRDefault="00001922" w:rsidP="00ED2C32">
      <w:pPr>
        <w:spacing w:line="360" w:lineRule="auto"/>
        <w:ind w:firstLine="567"/>
        <w:jc w:val="both"/>
        <w:rPr>
          <w:rFonts w:ascii="GHEA Grapalat" w:eastAsia="GHEA Grapalat" w:hAnsi="GHEA Grapalat" w:cs="GHEA Grapalat"/>
          <w:sz w:val="22"/>
          <w:szCs w:val="22"/>
        </w:rPr>
      </w:pPr>
    </w:p>
    <w:p w:rsidR="00001922" w:rsidRPr="00E57C0E" w:rsidRDefault="00001922" w:rsidP="00D46844">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ՀՀ այցելած զբոսաշրջիկների</w:t>
      </w:r>
      <w:r w:rsidR="008B7237" w:rsidRPr="00E57C0E">
        <w:rPr>
          <w:rFonts w:ascii="GHEA Grapalat" w:hAnsi="GHEA Grapalat" w:cs="Sylfaen"/>
          <w:sz w:val="22"/>
          <w:szCs w:val="22"/>
        </w:rPr>
        <w:t xml:space="preserve"> </w:t>
      </w:r>
      <w:r w:rsidRPr="00E57C0E">
        <w:rPr>
          <w:rFonts w:ascii="GHEA Grapalat" w:hAnsi="GHEA Grapalat" w:cs="Sylfaen"/>
          <w:sz w:val="22"/>
          <w:szCs w:val="22"/>
        </w:rPr>
        <w:t>դինամիկան 2019-2022թթ. հունվար-հունիս ամիսներին, հազար մարդ</w:t>
      </w:r>
    </w:p>
    <w:p w:rsidR="00001922" w:rsidRPr="00E57C0E" w:rsidRDefault="00001922" w:rsidP="00001922">
      <w:pPr>
        <w:spacing w:line="276" w:lineRule="auto"/>
        <w:jc w:val="both"/>
        <w:rPr>
          <w:rFonts w:ascii="GHEA Grapalat" w:eastAsia="GHEA Grapalat" w:hAnsi="GHEA Grapalat" w:cs="GHEA Grapalat"/>
          <w:i/>
          <w:sz w:val="22"/>
          <w:szCs w:val="22"/>
        </w:rPr>
      </w:pPr>
      <w:r w:rsidRPr="00E57C0E">
        <w:rPr>
          <w:rFonts w:ascii="GHEA Grapalat" w:eastAsia="GHEA Grapalat" w:hAnsi="GHEA Grapalat" w:cs="GHEA Grapalat"/>
          <w:i/>
          <w:noProof/>
          <w:sz w:val="22"/>
          <w:szCs w:val="22"/>
        </w:rPr>
        <w:drawing>
          <wp:inline distT="0" distB="0" distL="0" distR="0" wp14:anchorId="68AC9873" wp14:editId="40615C14">
            <wp:extent cx="6486525" cy="2339340"/>
            <wp:effectExtent l="0" t="0" r="9525" b="3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01922" w:rsidRPr="00E57C0E" w:rsidRDefault="00001922" w:rsidP="00001922">
      <w:pPr>
        <w:spacing w:after="120" w:line="276" w:lineRule="auto"/>
        <w:jc w:val="both"/>
        <w:rPr>
          <w:rFonts w:ascii="GHEA Grapalat" w:eastAsia="GHEA Grapalat" w:hAnsi="GHEA Grapalat" w:cs="GHEA Grapalat"/>
          <w:sz w:val="22"/>
          <w:szCs w:val="22"/>
        </w:rPr>
      </w:pPr>
      <w:r w:rsidRPr="00E57C0E">
        <w:rPr>
          <w:rFonts w:ascii="GHEA Grapalat" w:eastAsia="GHEA Grapalat" w:hAnsi="GHEA Grapalat" w:cs="GHEA Grapalat"/>
          <w:i/>
          <w:sz w:val="20"/>
          <w:szCs w:val="20"/>
        </w:rPr>
        <w:t>Աղբյուրը՝ ՀՀ ՎԿ</w:t>
      </w:r>
    </w:p>
    <w:p w:rsidR="00A01F96" w:rsidRPr="00E57C0E" w:rsidRDefault="00A01F96" w:rsidP="00001922">
      <w:pPr>
        <w:spacing w:before="120" w:after="120" w:line="360" w:lineRule="auto"/>
        <w:ind w:firstLine="567"/>
        <w:jc w:val="both"/>
        <w:rPr>
          <w:rFonts w:ascii="GHEA Grapalat" w:eastAsia="GHEA Grapalat" w:hAnsi="GHEA Grapalat" w:cs="GHEA Grapalat"/>
          <w:sz w:val="22"/>
          <w:szCs w:val="22"/>
        </w:rPr>
      </w:pPr>
    </w:p>
    <w:bookmarkEnd w:id="26"/>
    <w:p w:rsidR="00D87203" w:rsidRPr="00E57C0E" w:rsidRDefault="00D87203" w:rsidP="00D87203">
      <w:pPr>
        <w:pStyle w:val="Heading6"/>
        <w:ind w:left="567"/>
        <w:rPr>
          <w:rFonts w:ascii="GHEA Grapalat" w:hAnsi="GHEA Grapalat"/>
          <w:b/>
          <w:sz w:val="22"/>
          <w:szCs w:val="22"/>
          <w:u w:val="none"/>
        </w:rPr>
      </w:pPr>
      <w:r w:rsidRPr="00E57C0E">
        <w:rPr>
          <w:rFonts w:ascii="GHEA Grapalat" w:hAnsi="GHEA Grapalat"/>
          <w:b/>
          <w:sz w:val="22"/>
          <w:szCs w:val="22"/>
          <w:u w:val="none"/>
        </w:rPr>
        <w:lastRenderedPageBreak/>
        <w:t>Արժութային շուկա և փոխարժեքներ</w:t>
      </w:r>
    </w:p>
    <w:p w:rsidR="00001922" w:rsidRPr="00A857DF" w:rsidRDefault="00001922" w:rsidP="00001922">
      <w:pPr>
        <w:spacing w:before="120" w:after="120" w:line="360" w:lineRule="auto"/>
        <w:ind w:firstLine="567"/>
        <w:jc w:val="both"/>
        <w:rPr>
          <w:rFonts w:ascii="GHEA Grapalat" w:eastAsia="GHEA Grapalat" w:hAnsi="GHEA Grapalat" w:cs="GHEA Grapalat"/>
          <w:sz w:val="22"/>
          <w:szCs w:val="22"/>
          <w:lang w:val="hy-AM"/>
        </w:rPr>
      </w:pPr>
      <w:r w:rsidRPr="00A857DF">
        <w:rPr>
          <w:rFonts w:ascii="GHEA Grapalat" w:eastAsia="GHEA Grapalat" w:hAnsi="GHEA Grapalat" w:cs="GHEA Grapalat"/>
          <w:b/>
          <w:i/>
          <w:sz w:val="22"/>
          <w:szCs w:val="22"/>
          <w:lang w:val="hy-AM"/>
        </w:rPr>
        <w:t xml:space="preserve">Ֆիզիկական անձանց փոխանցումներ։ </w:t>
      </w:r>
      <w:r w:rsidRPr="00A857DF">
        <w:rPr>
          <w:rFonts w:ascii="GHEA Grapalat" w:eastAsia="GHEA Grapalat" w:hAnsi="GHEA Grapalat" w:cs="GHEA Grapalat"/>
          <w:sz w:val="22"/>
          <w:szCs w:val="22"/>
          <w:lang w:val="hy-AM"/>
        </w:rPr>
        <w:t>Դեպի ՀՀ ֆիզիկական անձանց փոխանցումները 2023 թվականի առաջին կիսամյակում շարունակում են մնալ բարձր մակարդակի վրա, սակայն նախորդ տարվա համեմատ սկսել են նվազել։ ՀՀ բանկերի միջոցով ֆիզիկական անձանց անունով այլ երկրներից մուտք եղած և ՀՀ-ից արտերկիր կատարված առևտրային և ոչ առևտրային նպատակով զուտ փոխանցումները 2023 թվականի առաջին կիսամյակում կազմել են 897.7</w:t>
      </w:r>
      <w:r w:rsidR="00FD3987" w:rsidRPr="00A857DF">
        <w:rPr>
          <w:rFonts w:ascii="GHEA Grapalat" w:eastAsia="GHEA Grapalat" w:hAnsi="GHEA Grapalat" w:cs="GHEA Grapalat"/>
          <w:sz w:val="22"/>
          <w:szCs w:val="22"/>
          <w:lang w:val="hy-AM"/>
        </w:rPr>
        <w:t xml:space="preserve"> </w:t>
      </w:r>
      <w:r w:rsidRPr="00A857DF">
        <w:rPr>
          <w:rFonts w:ascii="GHEA Grapalat" w:eastAsia="GHEA Grapalat" w:hAnsi="GHEA Grapalat" w:cs="GHEA Grapalat"/>
          <w:sz w:val="22"/>
          <w:szCs w:val="22"/>
          <w:lang w:val="hy-AM"/>
        </w:rPr>
        <w:t>մլն դոլար, նախորդ տարվա նույն ժամանակահատվածի համեմատ արձանագրելով 9.7</w:t>
      </w:r>
      <w:r w:rsidR="00FD3987" w:rsidRPr="00A857DF">
        <w:rPr>
          <w:rFonts w:ascii="GHEA Grapalat" w:eastAsia="GHEA Grapalat" w:hAnsi="GHEA Grapalat" w:cs="GHEA Grapalat"/>
          <w:sz w:val="22"/>
          <w:szCs w:val="22"/>
          <w:lang w:val="hy-AM"/>
        </w:rPr>
        <w:t>%</w:t>
      </w:r>
      <w:r w:rsidRPr="00A857DF">
        <w:rPr>
          <w:rFonts w:ascii="GHEA Grapalat" w:eastAsia="GHEA Grapalat" w:hAnsi="GHEA Grapalat" w:cs="GHEA Grapalat"/>
          <w:sz w:val="22"/>
          <w:szCs w:val="22"/>
          <w:lang w:val="hy-AM"/>
        </w:rPr>
        <w:t xml:space="preserve"> անկում: Ընդ որում՝ ՌԴ-ից զուտ փոխանցումները 2023 թվականի առաջին կիսամյակում կազմել են շուրջ 1.8 մլրդ դոլար</w:t>
      </w:r>
      <w:r w:rsidR="00FD3987" w:rsidRPr="00A857DF">
        <w:rPr>
          <w:rFonts w:ascii="GHEA Grapalat" w:eastAsia="GHEA Grapalat" w:hAnsi="GHEA Grapalat" w:cs="GHEA Grapalat"/>
          <w:sz w:val="22"/>
          <w:szCs w:val="22"/>
          <w:lang w:val="hy-AM"/>
        </w:rPr>
        <w:t>՝</w:t>
      </w:r>
      <w:r w:rsidRPr="00A857DF">
        <w:rPr>
          <w:rFonts w:ascii="GHEA Grapalat" w:eastAsia="GHEA Grapalat" w:hAnsi="GHEA Grapalat" w:cs="GHEA Grapalat"/>
          <w:sz w:val="22"/>
          <w:szCs w:val="22"/>
          <w:lang w:val="hy-AM"/>
        </w:rPr>
        <w:t xml:space="preserve"> նախորդ տարվա նույն ժամանակահատվածի համեմատ աճելով շուրջ</w:t>
      </w:r>
      <w:r w:rsidR="00FD3987" w:rsidRPr="00A857DF">
        <w:rPr>
          <w:rFonts w:ascii="GHEA Grapalat" w:eastAsia="GHEA Grapalat" w:hAnsi="GHEA Grapalat" w:cs="GHEA Grapalat"/>
          <w:sz w:val="22"/>
          <w:szCs w:val="22"/>
          <w:lang w:val="hy-AM"/>
        </w:rPr>
        <w:t xml:space="preserve"> 91.9%-</w:t>
      </w:r>
      <w:r w:rsidRPr="00A857DF">
        <w:rPr>
          <w:rFonts w:ascii="GHEA Grapalat" w:eastAsia="GHEA Grapalat" w:hAnsi="GHEA Grapalat" w:cs="GHEA Grapalat"/>
          <w:sz w:val="22"/>
          <w:szCs w:val="22"/>
          <w:lang w:val="hy-AM"/>
        </w:rPr>
        <w:t>ով։ Արդյունքում՝ տարեսկզբին ավելացած արտարժույթի ծավալները սկսել են նվազել</w:t>
      </w:r>
      <w:r w:rsidR="00FD3987" w:rsidRPr="00A857DF">
        <w:rPr>
          <w:rFonts w:ascii="GHEA Grapalat" w:eastAsia="GHEA Grapalat" w:hAnsi="GHEA Grapalat" w:cs="GHEA Grapalat"/>
          <w:sz w:val="22"/>
          <w:szCs w:val="22"/>
          <w:lang w:val="hy-AM"/>
        </w:rPr>
        <w:t>՝</w:t>
      </w:r>
      <w:r w:rsidRPr="00A857DF">
        <w:rPr>
          <w:rFonts w:ascii="GHEA Grapalat" w:eastAsia="GHEA Grapalat" w:hAnsi="GHEA Grapalat" w:cs="GHEA Grapalat"/>
          <w:sz w:val="22"/>
          <w:szCs w:val="22"/>
          <w:lang w:val="hy-AM"/>
        </w:rPr>
        <w:t xml:space="preserve"> դեռևս մնալով բարձր մակարդակի վրա՝ պահպանելով ՀՀ-ում արտարժույթի բարձր առաջարկը։</w:t>
      </w:r>
    </w:p>
    <w:p w:rsidR="00FD3987" w:rsidRPr="00A857DF" w:rsidRDefault="00FD3987" w:rsidP="00001922">
      <w:pPr>
        <w:spacing w:before="120" w:after="120" w:line="360" w:lineRule="auto"/>
        <w:ind w:firstLine="567"/>
        <w:jc w:val="both"/>
        <w:rPr>
          <w:rFonts w:ascii="GHEA Grapalat" w:eastAsia="GHEA Grapalat" w:hAnsi="GHEA Grapalat" w:cs="GHEA Grapalat"/>
          <w:sz w:val="22"/>
          <w:szCs w:val="22"/>
          <w:lang w:val="hy-AM"/>
        </w:rPr>
      </w:pPr>
    </w:p>
    <w:p w:rsidR="00001922" w:rsidRPr="00A857DF" w:rsidRDefault="00001922" w:rsidP="00D46844">
      <w:pPr>
        <w:keepNext/>
        <w:keepLines/>
        <w:numPr>
          <w:ilvl w:val="0"/>
          <w:numId w:val="24"/>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lang w:val="hy-AM"/>
        </w:rPr>
      </w:pPr>
      <w:r w:rsidRPr="00A857DF">
        <w:rPr>
          <w:rFonts w:ascii="GHEA Grapalat" w:hAnsi="GHEA Grapalat" w:cs="Sylfaen"/>
          <w:sz w:val="22"/>
          <w:szCs w:val="22"/>
          <w:lang w:val="hy-AM"/>
        </w:rPr>
        <w:t>ՀՀ բանկերի միջոցով ֆիզիկական անձանց անունով</w:t>
      </w:r>
      <w:r w:rsidR="008B7237" w:rsidRPr="00A857DF">
        <w:rPr>
          <w:rFonts w:ascii="GHEA Grapalat" w:hAnsi="GHEA Grapalat" w:cs="Sylfaen"/>
          <w:sz w:val="22"/>
          <w:szCs w:val="22"/>
          <w:lang w:val="hy-AM"/>
        </w:rPr>
        <w:t xml:space="preserve"> </w:t>
      </w:r>
      <w:r w:rsidRPr="00A857DF">
        <w:rPr>
          <w:rFonts w:ascii="GHEA Grapalat" w:hAnsi="GHEA Grapalat" w:cs="Sylfaen"/>
          <w:sz w:val="22"/>
          <w:szCs w:val="22"/>
          <w:lang w:val="hy-AM"/>
        </w:rPr>
        <w:t xml:space="preserve">արտերկրներից մուտք եղած և ՀՀ-ից ֆիզիկական անձանց կողմից արտերկիր կատարված զուտ փոխանցումներ, մլն ԱՄՆ դոլար </w:t>
      </w:r>
    </w:p>
    <w:p w:rsidR="00001922" w:rsidRPr="00A857DF" w:rsidRDefault="00001922" w:rsidP="00001922">
      <w:pPr>
        <w:spacing w:after="60"/>
        <w:rPr>
          <w:rFonts w:ascii="GHEA Grapalat" w:eastAsia="GHEA Grapalat" w:hAnsi="GHEA Grapalat"/>
          <w:b/>
          <w:lang w:val="hy-AM"/>
        </w:rPr>
      </w:pPr>
    </w:p>
    <w:p w:rsidR="00001922" w:rsidRPr="00E57C0E" w:rsidRDefault="00001922" w:rsidP="00001922">
      <w:pPr>
        <w:spacing w:after="120"/>
        <w:rPr>
          <w:rFonts w:ascii="GHEA Grapalat" w:hAnsi="GHEA Grapalat" w:cs="Sylfaen"/>
          <w:i/>
          <w:sz w:val="18"/>
          <w:szCs w:val="18"/>
        </w:rPr>
      </w:pPr>
      <w:r w:rsidRPr="00E57C0E">
        <w:rPr>
          <w:rFonts w:ascii="GHEA Grapalat" w:eastAsia="GHEA Grapalat" w:hAnsi="GHEA Grapalat"/>
          <w:b/>
          <w:noProof/>
        </w:rPr>
        <w:drawing>
          <wp:inline distT="0" distB="0" distL="0" distR="0" wp14:anchorId="72163F1C" wp14:editId="5A7FF8D3">
            <wp:extent cx="6229350" cy="2571750"/>
            <wp:effectExtent l="0" t="0" r="0" b="0"/>
            <wp:docPr id="1062742652" name="Chart 1062742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1922" w:rsidRPr="00E57C0E" w:rsidRDefault="00001922" w:rsidP="00001922">
      <w:pPr>
        <w:spacing w:after="120"/>
        <w:rPr>
          <w:rFonts w:ascii="GHEA Grapalat" w:hAnsi="GHEA Grapalat" w:cs="Sylfaen"/>
          <w:i/>
          <w:sz w:val="18"/>
          <w:szCs w:val="18"/>
        </w:rPr>
      </w:pPr>
      <w:r w:rsidRPr="00E57C0E">
        <w:rPr>
          <w:rFonts w:ascii="GHEA Grapalat" w:hAnsi="GHEA Grapalat" w:cs="Sylfaen"/>
          <w:i/>
          <w:sz w:val="18"/>
          <w:szCs w:val="18"/>
        </w:rPr>
        <w:t>Աղբյուրը՝ ՀՀ ԿԲ, ՀՀ ՖՆ հաշվարկներ</w:t>
      </w:r>
    </w:p>
    <w:p w:rsidR="00001922" w:rsidRPr="00E57C0E" w:rsidRDefault="00001922" w:rsidP="00001922">
      <w:pPr>
        <w:spacing w:after="120"/>
        <w:rPr>
          <w:rFonts w:ascii="GHEA Grapalat" w:hAnsi="GHEA Grapalat" w:cs="Sylfaen"/>
          <w:i/>
          <w:sz w:val="18"/>
          <w:szCs w:val="18"/>
        </w:rPr>
      </w:pPr>
    </w:p>
    <w:p w:rsidR="00001922" w:rsidRPr="00E57C0E" w:rsidRDefault="00001922" w:rsidP="00001922">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sz w:val="22"/>
          <w:szCs w:val="22"/>
        </w:rPr>
        <w:t xml:space="preserve">Արժութային շուկա։ </w:t>
      </w:r>
      <w:r w:rsidRPr="00E57C0E">
        <w:rPr>
          <w:rFonts w:ascii="GHEA Grapalat" w:eastAsia="GHEA Grapalat" w:hAnsi="GHEA Grapalat" w:cs="GHEA Grapalat"/>
          <w:sz w:val="22"/>
          <w:szCs w:val="22"/>
        </w:rPr>
        <w:t>ՀՀ արժութային շուկայի շրջանառության ծավալները 2022</w:t>
      </w:r>
      <w:r w:rsidR="00FD398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թ</w:t>
      </w:r>
      <w:r w:rsidR="00FD3987" w:rsidRPr="00E57C0E">
        <w:rPr>
          <w:rFonts w:ascii="GHEA Grapalat" w:eastAsia="GHEA Grapalat" w:hAnsi="GHEA Grapalat" w:cs="GHEA Grapalat"/>
          <w:sz w:val="22"/>
          <w:szCs w:val="22"/>
        </w:rPr>
        <w:t>վական</w:t>
      </w:r>
      <w:r w:rsidRPr="00E57C0E">
        <w:rPr>
          <w:rFonts w:ascii="GHEA Grapalat" w:eastAsia="GHEA Grapalat" w:hAnsi="GHEA Grapalat" w:cs="GHEA Grapalat"/>
          <w:sz w:val="22"/>
          <w:szCs w:val="22"/>
        </w:rPr>
        <w:t>ի աննախադեպ բարձր ծավալների համեմատ սկսել են կրճատվել:</w:t>
      </w:r>
      <w:r w:rsidR="008B7237"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 xml:space="preserve">Եթե հունվար ամսին արտարժույթի ներբանկային առքի և վաճառքի ծավալներն իրար ավելի մոտ են եղել, ապա, սկսած փետրվարից, առքը գերազանցել է վաճառքը՝ հիմնականում պայմանավորված ռուբլու ձեռքբերումներով, իսկ ապրիլից հունիս ամիսներին դոլարի զուտ առքը եղել է չնչին։ Նույն ժամանակահատվածում ՀՀ ԿԲ-ն </w:t>
      </w:r>
      <w:r w:rsidRPr="00E57C0E">
        <w:rPr>
          <w:rFonts w:ascii="GHEA Grapalat" w:eastAsia="GHEA Grapalat" w:hAnsi="GHEA Grapalat" w:cs="GHEA Grapalat"/>
          <w:sz w:val="22"/>
          <w:szCs w:val="22"/>
        </w:rPr>
        <w:lastRenderedPageBreak/>
        <w:t>արժութային շուկայում իրականացրել է միջամտություններ շուրջ 582 մլն ԱՄՆ դոլարի չափով՝ ավելորդ տատանողականությունը չեզոքացնելու նպատակով։</w:t>
      </w:r>
    </w:p>
    <w:p w:rsidR="00780B86" w:rsidRPr="00E57C0E" w:rsidRDefault="00780B86" w:rsidP="00001922">
      <w:pPr>
        <w:spacing w:line="360" w:lineRule="auto"/>
        <w:ind w:firstLine="567"/>
        <w:jc w:val="both"/>
        <w:rPr>
          <w:rFonts w:ascii="GHEA Grapalat" w:eastAsia="GHEA Grapalat" w:hAnsi="GHEA Grapalat" w:cs="GHEA Grapalat"/>
          <w:sz w:val="22"/>
          <w:szCs w:val="22"/>
        </w:rPr>
      </w:pPr>
    </w:p>
    <w:tbl>
      <w:tblPr>
        <w:tblW w:w="5018"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5043"/>
        <w:gridCol w:w="5190"/>
      </w:tblGrid>
      <w:tr w:rsidR="00001922" w:rsidRPr="00E57C0E" w:rsidTr="00AA791E">
        <w:trPr>
          <w:trHeight w:val="901"/>
        </w:trPr>
        <w:tc>
          <w:tcPr>
            <w:tcW w:w="2464" w:type="pct"/>
            <w:shd w:val="clear" w:color="auto" w:fill="auto"/>
          </w:tcPr>
          <w:p w:rsidR="00001922" w:rsidRPr="00E57C0E" w:rsidRDefault="00001922" w:rsidP="00050C76">
            <w:pPr>
              <w:keepNext/>
              <w:keepLines/>
              <w:tabs>
                <w:tab w:val="left" w:pos="0"/>
                <w:tab w:val="left" w:pos="284"/>
                <w:tab w:val="left" w:pos="1276"/>
                <w:tab w:val="left" w:pos="1888"/>
              </w:tabs>
              <w:autoSpaceDE w:val="0"/>
              <w:autoSpaceDN w:val="0"/>
              <w:adjustRightInd w:val="0"/>
              <w:rPr>
                <w:rFonts w:ascii="GHEA Grapalat" w:eastAsia="GHEA Grapalat" w:hAnsi="GHEA Grapalat" w:cs="GHEA Grapalat"/>
                <w:b/>
                <w:i/>
                <w:sz w:val="18"/>
                <w:szCs w:val="18"/>
              </w:rPr>
            </w:pPr>
            <w:r w:rsidRPr="00E57C0E">
              <w:rPr>
                <w:rFonts w:ascii="GHEA Grapalat" w:eastAsia="Calibri" w:hAnsi="GHEA Grapalat"/>
                <w:b/>
                <w:i/>
                <w:sz w:val="18"/>
                <w:szCs w:val="18"/>
              </w:rPr>
              <w:t xml:space="preserve">Գծապատկեր </w:t>
            </w:r>
            <w:r w:rsidR="00050C76" w:rsidRPr="00E57C0E">
              <w:rPr>
                <w:rFonts w:ascii="GHEA Grapalat" w:eastAsia="Calibri" w:hAnsi="GHEA Grapalat"/>
                <w:b/>
                <w:i/>
                <w:sz w:val="18"/>
                <w:szCs w:val="18"/>
              </w:rPr>
              <w:t>18</w:t>
            </w:r>
            <w:r w:rsidRPr="00E57C0E">
              <w:rPr>
                <w:rFonts w:ascii="GHEA Grapalat" w:eastAsia="Calibri" w:hAnsi="GHEA Grapalat"/>
                <w:b/>
                <w:i/>
                <w:sz w:val="18"/>
                <w:szCs w:val="18"/>
              </w:rPr>
              <w:t xml:space="preserve">. </w:t>
            </w:r>
            <w:r w:rsidRPr="00E57C0E">
              <w:rPr>
                <w:rFonts w:ascii="GHEA Grapalat" w:eastAsia="Calibri" w:hAnsi="GHEA Grapalat" w:cs="Sylfaen"/>
                <w:sz w:val="18"/>
                <w:szCs w:val="18"/>
              </w:rPr>
              <w:t>ՀՀ արժութային (ներբանկային) շուկայի շրջանառության տվյալներն ըստ դրամային համարժեքների, զուտ մլրդ դրամ</w:t>
            </w:r>
          </w:p>
        </w:tc>
        <w:tc>
          <w:tcPr>
            <w:tcW w:w="2536" w:type="pct"/>
            <w:shd w:val="clear" w:color="auto" w:fill="auto"/>
          </w:tcPr>
          <w:p w:rsidR="00001922" w:rsidRPr="00E57C0E" w:rsidRDefault="00001922" w:rsidP="00050C76">
            <w:pPr>
              <w:keepNext/>
              <w:keepLines/>
              <w:tabs>
                <w:tab w:val="left" w:pos="0"/>
                <w:tab w:val="left" w:pos="284"/>
                <w:tab w:val="left" w:pos="1276"/>
                <w:tab w:val="left" w:pos="1888"/>
              </w:tabs>
              <w:autoSpaceDE w:val="0"/>
              <w:autoSpaceDN w:val="0"/>
              <w:adjustRightInd w:val="0"/>
              <w:rPr>
                <w:rFonts w:ascii="GHEA Grapalat" w:eastAsia="Calibri" w:hAnsi="GHEA Grapalat" w:cs="Sylfaen"/>
                <w:i/>
                <w:sz w:val="18"/>
                <w:szCs w:val="18"/>
              </w:rPr>
            </w:pPr>
            <w:r w:rsidRPr="00E57C0E">
              <w:rPr>
                <w:rFonts w:ascii="GHEA Grapalat" w:eastAsia="Calibri" w:hAnsi="GHEA Grapalat"/>
                <w:b/>
                <w:i/>
                <w:sz w:val="18"/>
                <w:szCs w:val="18"/>
              </w:rPr>
              <w:t>Գծապատկեր</w:t>
            </w:r>
            <w:r w:rsidR="00780B86" w:rsidRPr="00E57C0E">
              <w:rPr>
                <w:rFonts w:ascii="GHEA Grapalat" w:eastAsia="Calibri" w:hAnsi="GHEA Grapalat"/>
                <w:b/>
                <w:i/>
                <w:sz w:val="18"/>
                <w:szCs w:val="18"/>
              </w:rPr>
              <w:t xml:space="preserve"> </w:t>
            </w:r>
            <w:r w:rsidR="00050C76" w:rsidRPr="00E57C0E">
              <w:rPr>
                <w:rFonts w:ascii="GHEA Grapalat" w:eastAsia="Calibri" w:hAnsi="GHEA Grapalat"/>
                <w:b/>
                <w:i/>
                <w:sz w:val="18"/>
                <w:szCs w:val="18"/>
              </w:rPr>
              <w:t>19</w:t>
            </w:r>
            <w:r w:rsidRPr="00E57C0E">
              <w:rPr>
                <w:rFonts w:ascii="GHEA Grapalat" w:eastAsia="Calibri" w:hAnsi="GHEA Grapalat"/>
                <w:b/>
                <w:i/>
                <w:sz w:val="18"/>
                <w:szCs w:val="18"/>
              </w:rPr>
              <w:t xml:space="preserve">. </w:t>
            </w:r>
            <w:r w:rsidRPr="00E57C0E">
              <w:rPr>
                <w:rFonts w:ascii="GHEA Grapalat" w:eastAsia="Calibri" w:hAnsi="GHEA Grapalat" w:cs="Sylfaen"/>
                <w:sz w:val="18"/>
                <w:szCs w:val="18"/>
              </w:rPr>
              <w:t>Փոխարժեք և ԿԲ արձագանք</w:t>
            </w:r>
          </w:p>
        </w:tc>
      </w:tr>
      <w:tr w:rsidR="00001922" w:rsidRPr="00E57C0E" w:rsidTr="00AA791E">
        <w:trPr>
          <w:trHeight w:val="3912"/>
        </w:trPr>
        <w:tc>
          <w:tcPr>
            <w:tcW w:w="2464" w:type="pct"/>
            <w:shd w:val="clear" w:color="auto" w:fill="auto"/>
          </w:tcPr>
          <w:p w:rsidR="00001922" w:rsidRPr="00E57C0E" w:rsidRDefault="00001922" w:rsidP="00AA791E">
            <w:pPr>
              <w:spacing w:line="360" w:lineRule="auto"/>
              <w:jc w:val="both"/>
              <w:rPr>
                <w:rFonts w:ascii="GHEA Grapalat" w:eastAsia="GHEA Grapalat" w:hAnsi="GHEA Grapalat" w:cs="GHEA Grapalat"/>
                <w:sz w:val="22"/>
                <w:szCs w:val="22"/>
              </w:rPr>
            </w:pPr>
            <w:r w:rsidRPr="00E57C0E">
              <w:rPr>
                <w:rFonts w:ascii="GHEA Grapalat" w:eastAsia="GHEA Grapalat" w:hAnsi="GHEA Grapalat" w:cs="GHEA Grapalat"/>
                <w:b/>
                <w:i/>
                <w:iCs/>
                <w:noProof/>
              </w:rPr>
              <w:drawing>
                <wp:anchor distT="0" distB="0" distL="114300" distR="114300" simplePos="0" relativeHeight="251652096" behindDoc="0" locked="0" layoutInCell="1" allowOverlap="1" wp14:anchorId="7A79A6F7" wp14:editId="28075CA6">
                  <wp:simplePos x="0" y="0"/>
                  <wp:positionH relativeFrom="column">
                    <wp:posOffset>-20320</wp:posOffset>
                  </wp:positionH>
                  <wp:positionV relativeFrom="paragraph">
                    <wp:posOffset>19685</wp:posOffset>
                  </wp:positionV>
                  <wp:extent cx="3095625" cy="2413635"/>
                  <wp:effectExtent l="0" t="0" r="9525" b="5715"/>
                  <wp:wrapNone/>
                  <wp:docPr id="2000982134" name="Chart 2000982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tc>
        <w:tc>
          <w:tcPr>
            <w:tcW w:w="2536" w:type="pct"/>
            <w:shd w:val="clear" w:color="auto" w:fill="auto"/>
          </w:tcPr>
          <w:p w:rsidR="00001922" w:rsidRPr="00E57C0E" w:rsidRDefault="00001922" w:rsidP="00AA791E">
            <w:pPr>
              <w:spacing w:line="360" w:lineRule="auto"/>
              <w:jc w:val="both"/>
              <w:rPr>
                <w:rFonts w:ascii="GHEA Grapalat" w:eastAsia="GHEA Grapalat" w:hAnsi="GHEA Grapalat" w:cs="GHEA Grapalat"/>
                <w:sz w:val="22"/>
                <w:szCs w:val="22"/>
              </w:rPr>
            </w:pPr>
            <w:r w:rsidRPr="00E57C0E">
              <w:rPr>
                <w:rFonts w:ascii="GHEA Grapalat" w:eastAsia="GHEA Grapalat" w:hAnsi="GHEA Grapalat"/>
                <w:b/>
                <w:noProof/>
              </w:rPr>
              <w:drawing>
                <wp:anchor distT="0" distB="0" distL="114300" distR="114300" simplePos="0" relativeHeight="251662336" behindDoc="0" locked="0" layoutInCell="1" allowOverlap="1" wp14:anchorId="3D7A1D27" wp14:editId="10BD3AA3">
                  <wp:simplePos x="0" y="0"/>
                  <wp:positionH relativeFrom="column">
                    <wp:posOffset>6350</wp:posOffset>
                  </wp:positionH>
                  <wp:positionV relativeFrom="paragraph">
                    <wp:posOffset>76835</wp:posOffset>
                  </wp:positionV>
                  <wp:extent cx="3067050" cy="2413635"/>
                  <wp:effectExtent l="0" t="0" r="0" b="5715"/>
                  <wp:wrapNone/>
                  <wp:docPr id="1014614437" name="Chart 1014614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tc>
      </w:tr>
      <w:tr w:rsidR="00001922" w:rsidRPr="00E57C0E" w:rsidTr="00AA791E">
        <w:trPr>
          <w:trHeight w:val="306"/>
        </w:trPr>
        <w:tc>
          <w:tcPr>
            <w:tcW w:w="2464" w:type="pct"/>
            <w:shd w:val="clear" w:color="auto" w:fill="auto"/>
          </w:tcPr>
          <w:p w:rsidR="00001922" w:rsidRPr="00E57C0E" w:rsidRDefault="00001922" w:rsidP="00AA791E">
            <w:pPr>
              <w:spacing w:line="360" w:lineRule="auto"/>
              <w:jc w:val="both"/>
              <w:rPr>
                <w:rFonts w:ascii="GHEA Grapalat" w:eastAsia="GHEA Grapalat" w:hAnsi="GHEA Grapalat" w:cs="GHEA Grapalat"/>
                <w:b/>
                <w:i/>
                <w:iCs/>
                <w:sz w:val="22"/>
                <w:szCs w:val="22"/>
              </w:rPr>
            </w:pPr>
            <w:r w:rsidRPr="00E57C0E">
              <w:rPr>
                <w:rFonts w:ascii="GHEA Grapalat" w:hAnsi="GHEA Grapalat" w:cs="Sylfaen"/>
                <w:i/>
                <w:sz w:val="18"/>
                <w:szCs w:val="18"/>
              </w:rPr>
              <w:t>Աղբյուրը՝ ՀՀ ԿԲ, ՀՀ ՖՆ հաշվարկներ</w:t>
            </w:r>
          </w:p>
        </w:tc>
        <w:tc>
          <w:tcPr>
            <w:tcW w:w="2536" w:type="pct"/>
            <w:shd w:val="clear" w:color="auto" w:fill="auto"/>
          </w:tcPr>
          <w:p w:rsidR="00001922" w:rsidRPr="00E57C0E" w:rsidRDefault="00001922" w:rsidP="00AA791E">
            <w:pPr>
              <w:spacing w:line="360" w:lineRule="auto"/>
              <w:jc w:val="both"/>
              <w:rPr>
                <w:rFonts w:ascii="GHEA Grapalat" w:eastAsia="GHEA Grapalat" w:hAnsi="GHEA Grapalat" w:cs="GHEA Grapalat"/>
                <w:b/>
                <w:i/>
                <w:iCs/>
                <w:sz w:val="22"/>
                <w:szCs w:val="22"/>
              </w:rPr>
            </w:pPr>
            <w:r w:rsidRPr="00E57C0E">
              <w:rPr>
                <w:rFonts w:ascii="GHEA Grapalat" w:hAnsi="GHEA Grapalat" w:cs="Sylfaen"/>
                <w:i/>
                <w:sz w:val="18"/>
                <w:szCs w:val="18"/>
              </w:rPr>
              <w:t>Աղբյուրը՝ ՀՀ ԿԲ, ՀՀ ՖՆ հաշվարկներ</w:t>
            </w:r>
          </w:p>
        </w:tc>
      </w:tr>
    </w:tbl>
    <w:p w:rsidR="00780B86" w:rsidRPr="00E57C0E" w:rsidRDefault="00780B86" w:rsidP="00780B86">
      <w:pPr>
        <w:spacing w:line="360" w:lineRule="auto"/>
        <w:ind w:firstLine="567"/>
        <w:jc w:val="both"/>
        <w:rPr>
          <w:rFonts w:ascii="GHEA Grapalat" w:eastAsia="GHEA Grapalat" w:hAnsi="GHEA Grapalat" w:cs="GHEA Grapalat"/>
          <w:sz w:val="22"/>
          <w:szCs w:val="22"/>
        </w:rPr>
      </w:pPr>
    </w:p>
    <w:p w:rsidR="00001922" w:rsidRPr="00E57C0E" w:rsidRDefault="00001922" w:rsidP="00780B86">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b/>
          <w:i/>
          <w:iCs/>
          <w:sz w:val="22"/>
          <w:szCs w:val="22"/>
        </w:rPr>
        <w:t>Երկկողմանի փոխարժեքներ։</w:t>
      </w:r>
      <w:r w:rsidRPr="00E57C0E">
        <w:rPr>
          <w:rFonts w:ascii="GHEA Grapalat" w:eastAsia="GHEA Grapalat" w:hAnsi="GHEA Grapalat" w:cs="GHEA Grapalat"/>
          <w:b/>
          <w:sz w:val="22"/>
          <w:szCs w:val="22"/>
        </w:rPr>
        <w:t xml:space="preserve"> </w:t>
      </w:r>
      <w:r w:rsidRPr="00E57C0E">
        <w:rPr>
          <w:rFonts w:ascii="GHEA Grapalat" w:eastAsia="GHEA Grapalat" w:hAnsi="GHEA Grapalat" w:cs="GHEA Grapalat"/>
          <w:sz w:val="22"/>
          <w:szCs w:val="22"/>
        </w:rPr>
        <w:t>Հաշվետու ժամանակահատվածում ՀՀ դրամը ԱՄՆ դոլարի, ռուբլու և եվրոյի նկատմամբ շարունակում է դրսևորել արժևորման վարքագիծ` պայմանավորված արտարժույթի նշանակալի ներհոսքի հետևանքով արժույթի շուկայում ՀՀ դրամի վրա ի հայտ եկած ճնշումներով:</w:t>
      </w:r>
    </w:p>
    <w:p w:rsidR="00001922" w:rsidRPr="00E57C0E" w:rsidRDefault="00001922" w:rsidP="00780B86">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 xml:space="preserve">ԱՄՆ դոլարի, </w:t>
      </w:r>
      <w:r w:rsidR="00780B86" w:rsidRPr="00E57C0E">
        <w:rPr>
          <w:rFonts w:ascii="GHEA Grapalat" w:eastAsia="GHEA Grapalat" w:hAnsi="GHEA Grapalat" w:cs="GHEA Grapalat"/>
          <w:sz w:val="22"/>
          <w:szCs w:val="22"/>
        </w:rPr>
        <w:t>ե</w:t>
      </w:r>
      <w:r w:rsidRPr="00E57C0E">
        <w:rPr>
          <w:rFonts w:ascii="GHEA Grapalat" w:eastAsia="GHEA Grapalat" w:hAnsi="GHEA Grapalat" w:cs="GHEA Grapalat"/>
          <w:sz w:val="22"/>
          <w:szCs w:val="22"/>
        </w:rPr>
        <w:t xml:space="preserve">վրոյի և ՌԴ ռուբլու նկատմամբ 2023 թվականի առաջին կիսամյակում նախորդ տարվա նույն ժամանակահատվածի նկատմամբ ՀՀ </w:t>
      </w:r>
      <w:r w:rsidR="00780B86" w:rsidRPr="00E57C0E">
        <w:rPr>
          <w:rFonts w:ascii="GHEA Grapalat" w:eastAsia="GHEA Grapalat" w:hAnsi="GHEA Grapalat" w:cs="GHEA Grapalat"/>
          <w:sz w:val="22"/>
          <w:szCs w:val="22"/>
        </w:rPr>
        <w:t>դրամն</w:t>
      </w:r>
      <w:r w:rsidRPr="00E57C0E">
        <w:rPr>
          <w:rFonts w:ascii="GHEA Grapalat" w:eastAsia="GHEA Grapalat" w:hAnsi="GHEA Grapalat" w:cs="GHEA Grapalat"/>
          <w:sz w:val="22"/>
          <w:szCs w:val="22"/>
        </w:rPr>
        <w:t xml:space="preserve"> արժևորվել է </w:t>
      </w:r>
      <w:r w:rsidR="00780B86" w:rsidRPr="00E57C0E">
        <w:rPr>
          <w:rFonts w:ascii="GHEA Grapalat" w:eastAsia="GHEA Grapalat" w:hAnsi="GHEA Grapalat" w:cs="GHEA Grapalat"/>
          <w:sz w:val="22"/>
          <w:szCs w:val="22"/>
        </w:rPr>
        <w:t>համապատասխանաբար</w:t>
      </w:r>
      <w:r w:rsidRPr="00E57C0E">
        <w:rPr>
          <w:rFonts w:ascii="GHEA Grapalat" w:eastAsia="GHEA Grapalat" w:hAnsi="GHEA Grapalat" w:cs="GHEA Grapalat"/>
          <w:sz w:val="22"/>
          <w:szCs w:val="22"/>
        </w:rPr>
        <w:t xml:space="preserve"> 20.1%</w:t>
      </w:r>
      <w:r w:rsidR="00780B86" w:rsidRPr="00E57C0E">
        <w:rPr>
          <w:rFonts w:ascii="GHEA Grapalat" w:eastAsia="GHEA Grapalat" w:hAnsi="GHEA Grapalat" w:cs="GHEA Grapalat"/>
          <w:sz w:val="22"/>
          <w:szCs w:val="22"/>
        </w:rPr>
        <w:t>-ով</w:t>
      </w:r>
      <w:r w:rsidRPr="00E57C0E">
        <w:rPr>
          <w:rFonts w:ascii="GHEA Grapalat" w:eastAsia="GHEA Grapalat" w:hAnsi="GHEA Grapalat" w:cs="GHEA Grapalat"/>
          <w:sz w:val="22"/>
          <w:szCs w:val="22"/>
        </w:rPr>
        <w:t>, 21.7%-ով և 24</w:t>
      </w:r>
      <w:r w:rsidRPr="00E57C0E">
        <w:rPr>
          <w:rFonts w:ascii="Cambria Math" w:eastAsia="GHEA Grapalat" w:hAnsi="Cambria Math" w:cs="Cambria Math"/>
          <w:sz w:val="22"/>
          <w:szCs w:val="22"/>
        </w:rPr>
        <w:t>․</w:t>
      </w:r>
      <w:r w:rsidRPr="00E57C0E">
        <w:rPr>
          <w:rFonts w:ascii="GHEA Grapalat" w:eastAsia="GHEA Grapalat" w:hAnsi="GHEA Grapalat" w:cs="GHEA Grapalat"/>
          <w:sz w:val="22"/>
          <w:szCs w:val="22"/>
        </w:rPr>
        <w:t>9%-ով։</w:t>
      </w:r>
    </w:p>
    <w:p w:rsidR="00001922" w:rsidRPr="00E57C0E" w:rsidRDefault="00001922" w:rsidP="00780B86">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2023 թվականի առաջին կիսամյակում ՀՀ դրամը դոլարի նկատմամբ դրսևորել է հարաբերական կայուն վարքագիծ, և, սկսած մարտից, նկատվել է թույլ արժևորման միտում։ Առաջին կիսամյակում ՀՀ դրամի՝ դոլարի նկատմամբ ձևավորված միջին փոխարժեքը կազմել է 389</w:t>
      </w:r>
      <w:r w:rsidRPr="00E57C0E">
        <w:rPr>
          <w:rFonts w:ascii="Cambria Math" w:eastAsia="GHEA Grapalat" w:hAnsi="Cambria Math" w:cs="Cambria Math"/>
          <w:sz w:val="22"/>
          <w:szCs w:val="22"/>
        </w:rPr>
        <w:t>․</w:t>
      </w:r>
      <w:r w:rsidRPr="00E57C0E">
        <w:rPr>
          <w:rFonts w:ascii="GHEA Grapalat" w:eastAsia="GHEA Grapalat" w:hAnsi="GHEA Grapalat" w:cs="GHEA Grapalat"/>
          <w:sz w:val="22"/>
          <w:szCs w:val="22"/>
        </w:rPr>
        <w:t>8 դրամ մեկ դոլարի դիմաց։</w:t>
      </w:r>
    </w:p>
    <w:p w:rsidR="00001922" w:rsidRPr="00E57C0E" w:rsidRDefault="00001922" w:rsidP="00780B86">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2023 թվականի առաջին կիսամյակում ՀՀ դրամը եվրոյի նկատմամբ դրսևորել է թույլ տատանողական վարքագիծ։ Հաշվետու ժամանակահատվածում եվրոյի նկատմամբ ձևավորված միջին փոխարժեքը կազմել է 421</w:t>
      </w:r>
      <w:r w:rsidRPr="00E57C0E">
        <w:rPr>
          <w:rFonts w:ascii="Cambria Math" w:eastAsia="GHEA Grapalat" w:hAnsi="Cambria Math" w:cs="Cambria Math"/>
          <w:sz w:val="22"/>
          <w:szCs w:val="22"/>
        </w:rPr>
        <w:t>․</w:t>
      </w:r>
      <w:r w:rsidRPr="00E57C0E">
        <w:rPr>
          <w:rFonts w:ascii="GHEA Grapalat" w:eastAsia="GHEA Grapalat" w:hAnsi="GHEA Grapalat" w:cs="GHEA Grapalat"/>
          <w:sz w:val="22"/>
          <w:szCs w:val="22"/>
        </w:rPr>
        <w:t>5 դրամ մեկ եվրոյի դիմաց։</w:t>
      </w:r>
    </w:p>
    <w:p w:rsidR="00001922" w:rsidRPr="00E57C0E" w:rsidRDefault="00001922" w:rsidP="00780B86">
      <w:pPr>
        <w:spacing w:line="360" w:lineRule="auto"/>
        <w:ind w:firstLine="567"/>
        <w:jc w:val="both"/>
        <w:rPr>
          <w:rFonts w:ascii="GHEA Grapalat" w:eastAsia="GHEA Grapalat" w:hAnsi="GHEA Grapalat" w:cs="GHEA Grapalat"/>
          <w:sz w:val="22"/>
          <w:szCs w:val="22"/>
        </w:rPr>
      </w:pPr>
      <w:r w:rsidRPr="00E57C0E">
        <w:rPr>
          <w:rFonts w:ascii="GHEA Grapalat" w:eastAsia="GHEA Grapalat" w:hAnsi="GHEA Grapalat" w:cs="GHEA Grapalat"/>
          <w:sz w:val="22"/>
          <w:szCs w:val="22"/>
        </w:rPr>
        <w:t>ՀՀ դրամի միջին փոխարժեքը ՌԴ ռուբլու նկատմամբ 2023 թվականի առաջին կիսամյակում նախորդ տարվա նույն ժամանակահատվածի համեմատությամբ արժևորվել է 24</w:t>
      </w:r>
      <w:r w:rsidRPr="00E57C0E">
        <w:rPr>
          <w:rFonts w:ascii="Cambria Math" w:eastAsia="GHEA Grapalat" w:hAnsi="Cambria Math" w:cs="Cambria Math"/>
          <w:sz w:val="22"/>
          <w:szCs w:val="22"/>
        </w:rPr>
        <w:t>․</w:t>
      </w:r>
      <w:r w:rsidRPr="00E57C0E">
        <w:rPr>
          <w:rFonts w:ascii="GHEA Grapalat" w:eastAsia="GHEA Grapalat" w:hAnsi="GHEA Grapalat" w:cs="GHEA Grapalat"/>
          <w:sz w:val="22"/>
          <w:szCs w:val="22"/>
        </w:rPr>
        <w:t xml:space="preserve">9%-ով՝ միջազգային </w:t>
      </w:r>
      <w:r w:rsidRPr="00E57C0E">
        <w:rPr>
          <w:rFonts w:ascii="GHEA Grapalat" w:eastAsia="GHEA Grapalat" w:hAnsi="GHEA Grapalat" w:cs="GHEA Grapalat"/>
          <w:sz w:val="22"/>
          <w:szCs w:val="22"/>
        </w:rPr>
        <w:lastRenderedPageBreak/>
        <w:t>շուկայում ռուսական ռուբլու դիրքի թուլացմամբ պայմանավորված։ 2023</w:t>
      </w:r>
      <w:r w:rsidR="00050C76" w:rsidRPr="00E57C0E">
        <w:rPr>
          <w:rFonts w:ascii="GHEA Grapalat" w:eastAsia="GHEA Grapalat" w:hAnsi="GHEA Grapalat" w:cs="GHEA Grapalat"/>
          <w:sz w:val="22"/>
          <w:szCs w:val="22"/>
        </w:rPr>
        <w:t xml:space="preserve"> </w:t>
      </w:r>
      <w:r w:rsidRPr="00E57C0E">
        <w:rPr>
          <w:rFonts w:ascii="GHEA Grapalat" w:eastAsia="GHEA Grapalat" w:hAnsi="GHEA Grapalat" w:cs="GHEA Grapalat"/>
          <w:sz w:val="22"/>
          <w:szCs w:val="22"/>
        </w:rPr>
        <w:t>թ</w:t>
      </w:r>
      <w:r w:rsidR="00050C76" w:rsidRPr="00E57C0E">
        <w:rPr>
          <w:rFonts w:ascii="GHEA Grapalat" w:eastAsia="GHEA Grapalat" w:hAnsi="GHEA Grapalat" w:cs="GHEA Grapalat"/>
          <w:sz w:val="22"/>
          <w:szCs w:val="22"/>
        </w:rPr>
        <w:t>վականի</w:t>
      </w:r>
      <w:r w:rsidRPr="00E57C0E">
        <w:rPr>
          <w:rFonts w:ascii="GHEA Grapalat" w:eastAsia="GHEA Grapalat" w:hAnsi="GHEA Grapalat" w:cs="GHEA Grapalat"/>
          <w:sz w:val="22"/>
          <w:szCs w:val="22"/>
        </w:rPr>
        <w:t xml:space="preserve"> առաջին կիսամյակում ռուբլու նկատմամբ ձևավորված միջին փոխարժեքը կազմել է 5.1 դրամ մեկ ռուբլու դիմաց։</w:t>
      </w:r>
    </w:p>
    <w:p w:rsidR="00050C76" w:rsidRPr="00E57C0E" w:rsidRDefault="00050C76" w:rsidP="00780B86">
      <w:pPr>
        <w:spacing w:line="360" w:lineRule="auto"/>
        <w:ind w:firstLine="567"/>
        <w:jc w:val="both"/>
        <w:rPr>
          <w:rFonts w:ascii="GHEA Grapalat" w:eastAsia="GHEA Grapalat" w:hAnsi="GHEA Grapalat" w:cs="GHEA Grapalat"/>
          <w:sz w:val="22"/>
          <w:szCs w:val="22"/>
        </w:rPr>
      </w:pPr>
    </w:p>
    <w:tbl>
      <w:tblPr>
        <w:tblW w:w="5018"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5043"/>
        <w:gridCol w:w="5190"/>
      </w:tblGrid>
      <w:tr w:rsidR="00001922" w:rsidRPr="00E57C0E" w:rsidTr="00AA791E">
        <w:trPr>
          <w:trHeight w:val="901"/>
        </w:trPr>
        <w:tc>
          <w:tcPr>
            <w:tcW w:w="2464" w:type="pct"/>
            <w:shd w:val="clear" w:color="auto" w:fill="auto"/>
          </w:tcPr>
          <w:p w:rsidR="00001922" w:rsidRPr="00E57C0E" w:rsidRDefault="00001922" w:rsidP="00AA791E">
            <w:pPr>
              <w:keepNext/>
              <w:keepLines/>
              <w:tabs>
                <w:tab w:val="left" w:pos="0"/>
                <w:tab w:val="left" w:pos="284"/>
                <w:tab w:val="left" w:pos="1276"/>
                <w:tab w:val="left" w:pos="1888"/>
              </w:tabs>
              <w:autoSpaceDE w:val="0"/>
              <w:autoSpaceDN w:val="0"/>
              <w:adjustRightInd w:val="0"/>
              <w:rPr>
                <w:rFonts w:ascii="GHEA Grapalat" w:eastAsia="GHEA Grapalat" w:hAnsi="GHEA Grapalat" w:cs="GHEA Grapalat"/>
                <w:b/>
                <w:i/>
                <w:sz w:val="18"/>
                <w:szCs w:val="18"/>
              </w:rPr>
            </w:pPr>
            <w:r w:rsidRPr="00E57C0E">
              <w:rPr>
                <w:rFonts w:ascii="GHEA Grapalat" w:hAnsi="GHEA Grapalat" w:cs="GHEA Grapalat"/>
                <w:b/>
                <w:i/>
                <w:sz w:val="20"/>
              </w:rPr>
              <w:t xml:space="preserve">Գծապատկեր 20. </w:t>
            </w:r>
            <w:r w:rsidRPr="00E57C0E">
              <w:rPr>
                <w:rFonts w:ascii="GHEA Grapalat" w:hAnsi="GHEA Grapalat" w:cs="GHEA Grapalat"/>
                <w:bCs/>
                <w:sz w:val="20"/>
              </w:rPr>
              <w:t>ՀՀ դրամի անվանական փոխարժեքի ամսական դինամիկան հիմնական արժույթների նկատմամբ (բարձրացումը՝ դրամի արժեզրկում)</w:t>
            </w:r>
          </w:p>
        </w:tc>
        <w:tc>
          <w:tcPr>
            <w:tcW w:w="2536" w:type="pct"/>
            <w:shd w:val="clear" w:color="auto" w:fill="auto"/>
          </w:tcPr>
          <w:p w:rsidR="00001922" w:rsidRPr="00E57C0E" w:rsidRDefault="00001922" w:rsidP="00AA791E">
            <w:pPr>
              <w:keepNext/>
              <w:keepLines/>
              <w:tabs>
                <w:tab w:val="left" w:pos="0"/>
                <w:tab w:val="left" w:pos="284"/>
                <w:tab w:val="left" w:pos="1276"/>
                <w:tab w:val="left" w:pos="1888"/>
              </w:tabs>
              <w:autoSpaceDE w:val="0"/>
              <w:autoSpaceDN w:val="0"/>
              <w:adjustRightInd w:val="0"/>
              <w:rPr>
                <w:rFonts w:ascii="GHEA Grapalat" w:eastAsia="Calibri" w:hAnsi="GHEA Grapalat" w:cs="Sylfaen"/>
                <w:i/>
                <w:sz w:val="18"/>
                <w:szCs w:val="18"/>
              </w:rPr>
            </w:pPr>
            <w:r w:rsidRPr="00E57C0E">
              <w:rPr>
                <w:rFonts w:ascii="GHEA Grapalat" w:hAnsi="GHEA Grapalat" w:cs="GHEA Grapalat"/>
                <w:b/>
                <w:i/>
                <w:sz w:val="20"/>
              </w:rPr>
              <w:t xml:space="preserve">Գծապատկեր 21. </w:t>
            </w:r>
            <w:r w:rsidRPr="00E57C0E">
              <w:rPr>
                <w:rFonts w:ascii="GHEA Grapalat" w:hAnsi="GHEA Grapalat" w:cs="GHEA Grapalat"/>
                <w:bCs/>
                <w:sz w:val="20"/>
              </w:rPr>
              <w:t>ՀՀ իրական և անվանական արդյունավետ փոխարժեքների դինամիկան (աճ՝ արժևորում)</w:t>
            </w:r>
          </w:p>
        </w:tc>
      </w:tr>
      <w:tr w:rsidR="00001922" w:rsidRPr="00E57C0E" w:rsidTr="00AA791E">
        <w:trPr>
          <w:trHeight w:val="3912"/>
        </w:trPr>
        <w:tc>
          <w:tcPr>
            <w:tcW w:w="2464" w:type="pct"/>
            <w:shd w:val="clear" w:color="auto" w:fill="auto"/>
          </w:tcPr>
          <w:p w:rsidR="00001922" w:rsidRPr="00E57C0E" w:rsidRDefault="00001922" w:rsidP="00AA791E">
            <w:pPr>
              <w:spacing w:line="360" w:lineRule="auto"/>
              <w:jc w:val="both"/>
              <w:rPr>
                <w:rFonts w:ascii="GHEA Grapalat" w:eastAsia="GHEA Grapalat" w:hAnsi="GHEA Grapalat" w:cs="GHEA Grapalat"/>
                <w:sz w:val="22"/>
                <w:szCs w:val="22"/>
              </w:rPr>
            </w:pPr>
            <w:r w:rsidRPr="00E57C0E">
              <w:rPr>
                <w:rFonts w:ascii="GHEA Grapalat" w:eastAsia="GHEA Grapalat" w:hAnsi="GHEA Grapalat"/>
                <w:b/>
                <w:noProof/>
              </w:rPr>
              <w:drawing>
                <wp:anchor distT="0" distB="0" distL="114300" distR="114300" simplePos="0" relativeHeight="251682816" behindDoc="0" locked="0" layoutInCell="1" allowOverlap="1" wp14:anchorId="467F2E0C" wp14:editId="181649FE">
                  <wp:simplePos x="0" y="0"/>
                  <wp:positionH relativeFrom="column">
                    <wp:posOffset>-6350</wp:posOffset>
                  </wp:positionH>
                  <wp:positionV relativeFrom="paragraph">
                    <wp:posOffset>5080</wp:posOffset>
                  </wp:positionV>
                  <wp:extent cx="3067050" cy="2413635"/>
                  <wp:effectExtent l="0" t="0" r="0" b="5715"/>
                  <wp:wrapNone/>
                  <wp:docPr id="88008854" name="Chart 88008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tc>
        <w:tc>
          <w:tcPr>
            <w:tcW w:w="2536" w:type="pct"/>
            <w:shd w:val="clear" w:color="auto" w:fill="auto"/>
          </w:tcPr>
          <w:p w:rsidR="00001922" w:rsidRPr="00E57C0E" w:rsidRDefault="00001922" w:rsidP="00AA791E">
            <w:pPr>
              <w:spacing w:line="360" w:lineRule="auto"/>
              <w:jc w:val="both"/>
              <w:rPr>
                <w:rFonts w:ascii="GHEA Grapalat" w:eastAsia="GHEA Grapalat" w:hAnsi="GHEA Grapalat" w:cs="GHEA Grapalat"/>
                <w:sz w:val="22"/>
                <w:szCs w:val="22"/>
              </w:rPr>
            </w:pPr>
            <w:r w:rsidRPr="00E57C0E">
              <w:rPr>
                <w:rFonts w:ascii="GHEA Grapalat" w:eastAsia="GHEA Grapalat" w:hAnsi="GHEA Grapalat"/>
                <w:b/>
                <w:noProof/>
              </w:rPr>
              <w:drawing>
                <wp:anchor distT="0" distB="0" distL="114300" distR="114300" simplePos="0" relativeHeight="251672576" behindDoc="0" locked="0" layoutInCell="1" allowOverlap="1" wp14:anchorId="2A2161A1" wp14:editId="5DAB147C">
                  <wp:simplePos x="0" y="0"/>
                  <wp:positionH relativeFrom="column">
                    <wp:posOffset>-3175</wp:posOffset>
                  </wp:positionH>
                  <wp:positionV relativeFrom="paragraph">
                    <wp:posOffset>2540</wp:posOffset>
                  </wp:positionV>
                  <wp:extent cx="3200400" cy="2413635"/>
                  <wp:effectExtent l="0" t="0" r="0" b="5715"/>
                  <wp:wrapNone/>
                  <wp:docPr id="1561898483" name="Chart 1561898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c>
      </w:tr>
      <w:tr w:rsidR="00001922" w:rsidRPr="00E57C0E" w:rsidTr="00AA791E">
        <w:trPr>
          <w:trHeight w:val="306"/>
        </w:trPr>
        <w:tc>
          <w:tcPr>
            <w:tcW w:w="2464" w:type="pct"/>
            <w:shd w:val="clear" w:color="auto" w:fill="auto"/>
          </w:tcPr>
          <w:p w:rsidR="00001922" w:rsidRPr="00E57C0E" w:rsidRDefault="00001922" w:rsidP="00AA791E">
            <w:pPr>
              <w:spacing w:line="360" w:lineRule="auto"/>
              <w:jc w:val="both"/>
              <w:rPr>
                <w:rFonts w:ascii="GHEA Grapalat" w:eastAsia="GHEA Grapalat" w:hAnsi="GHEA Grapalat" w:cs="GHEA Grapalat"/>
                <w:b/>
                <w:i/>
                <w:iCs/>
                <w:sz w:val="22"/>
                <w:szCs w:val="22"/>
              </w:rPr>
            </w:pPr>
            <w:r w:rsidRPr="00E57C0E">
              <w:rPr>
                <w:rFonts w:ascii="GHEA Grapalat" w:hAnsi="GHEA Grapalat" w:cs="Sylfaen"/>
                <w:i/>
                <w:sz w:val="18"/>
                <w:szCs w:val="18"/>
              </w:rPr>
              <w:t>Աղբյուրը՝ ՀՀ ԿԲ</w:t>
            </w:r>
          </w:p>
        </w:tc>
        <w:tc>
          <w:tcPr>
            <w:tcW w:w="2536" w:type="pct"/>
            <w:shd w:val="clear" w:color="auto" w:fill="auto"/>
          </w:tcPr>
          <w:p w:rsidR="00001922" w:rsidRPr="00E57C0E" w:rsidRDefault="00001922" w:rsidP="00AA791E">
            <w:pPr>
              <w:spacing w:line="360" w:lineRule="auto"/>
              <w:jc w:val="both"/>
              <w:rPr>
                <w:rFonts w:ascii="GHEA Grapalat" w:eastAsia="GHEA Grapalat" w:hAnsi="GHEA Grapalat" w:cs="GHEA Grapalat"/>
                <w:b/>
                <w:i/>
                <w:iCs/>
                <w:sz w:val="22"/>
                <w:szCs w:val="22"/>
              </w:rPr>
            </w:pPr>
            <w:r w:rsidRPr="00E57C0E">
              <w:rPr>
                <w:rFonts w:ascii="GHEA Grapalat" w:hAnsi="GHEA Grapalat" w:cs="Sylfaen"/>
                <w:i/>
                <w:sz w:val="18"/>
                <w:szCs w:val="18"/>
              </w:rPr>
              <w:t>Աղբյուրը՝ ՀՀ ԿԲ, ՀՀ ՖՆ հաշվարկներ</w:t>
            </w:r>
          </w:p>
        </w:tc>
      </w:tr>
    </w:tbl>
    <w:p w:rsidR="008B28E6" w:rsidRPr="00E57C0E" w:rsidRDefault="008B28E6" w:rsidP="00001922">
      <w:pPr>
        <w:spacing w:before="120" w:line="360" w:lineRule="auto"/>
        <w:ind w:firstLine="567"/>
        <w:jc w:val="both"/>
        <w:rPr>
          <w:rFonts w:ascii="GHEA Grapalat" w:eastAsia="GHEA Grapalat" w:hAnsi="GHEA Grapalat" w:cs="GHEA Grapalat"/>
          <w:b/>
          <w:i/>
          <w:sz w:val="22"/>
          <w:szCs w:val="22"/>
        </w:rPr>
      </w:pPr>
    </w:p>
    <w:p w:rsidR="00001922" w:rsidRPr="00E57C0E" w:rsidRDefault="00001922" w:rsidP="0078750C">
      <w:pPr>
        <w:spacing w:line="360" w:lineRule="auto"/>
        <w:ind w:firstLine="567"/>
        <w:jc w:val="both"/>
        <w:rPr>
          <w:rFonts w:ascii="GHEA Grapalat" w:eastAsia="Calibri" w:hAnsi="GHEA Grapalat" w:cs="Sylfaen"/>
          <w:sz w:val="22"/>
          <w:szCs w:val="22"/>
        </w:rPr>
      </w:pPr>
      <w:r w:rsidRPr="00E57C0E">
        <w:rPr>
          <w:rFonts w:ascii="GHEA Grapalat" w:eastAsia="GHEA Grapalat" w:hAnsi="GHEA Grapalat" w:cs="GHEA Grapalat"/>
          <w:b/>
          <w:i/>
          <w:sz w:val="22"/>
          <w:szCs w:val="22"/>
        </w:rPr>
        <w:t>Արդյունավետ փոխարժեքներ:</w:t>
      </w:r>
      <w:r w:rsidRPr="00E57C0E">
        <w:rPr>
          <w:rFonts w:ascii="GHEA Grapalat" w:eastAsia="GHEA Grapalat" w:hAnsi="GHEA Grapalat" w:cs="GHEA Grapalat"/>
          <w:sz w:val="22"/>
          <w:szCs w:val="22"/>
        </w:rPr>
        <w:t xml:space="preserve"> </w:t>
      </w:r>
      <w:r w:rsidRPr="00E57C0E">
        <w:rPr>
          <w:rFonts w:ascii="GHEA Grapalat" w:eastAsia="Calibri" w:hAnsi="GHEA Grapalat"/>
          <w:sz w:val="22"/>
          <w:szCs w:val="22"/>
        </w:rPr>
        <w:t>ՀՀ արտաքին առևտրի տեսանկյունից առավել կարևոր արժույթներից բաղկացած զամբյուղի նկատմամբ ՀՀ ազգային արժույթն</w:t>
      </w:r>
      <w:r w:rsidRPr="00E57C0E">
        <w:rPr>
          <w:rFonts w:ascii="GHEA Grapalat" w:eastAsia="Calibri" w:hAnsi="GHEA Grapalat" w:cs="Sylfaen"/>
          <w:sz w:val="22"/>
          <w:szCs w:val="22"/>
        </w:rPr>
        <w:t xml:space="preserve"> անվանական արտահայտությամբ 2023 թվականի առաջին 5 ամիսներին </w:t>
      </w:r>
      <w:r w:rsidRPr="00E57C0E">
        <w:rPr>
          <w:rFonts w:ascii="GHEA Grapalat" w:eastAsia="GHEA Grapalat" w:hAnsi="GHEA Grapalat" w:cs="GHEA Grapalat"/>
          <w:sz w:val="22"/>
          <w:szCs w:val="22"/>
        </w:rPr>
        <w:t>արժևորվել է</w:t>
      </w:r>
      <w:r w:rsidRPr="00E57C0E">
        <w:rPr>
          <w:rFonts w:ascii="GHEA Grapalat" w:eastAsia="Calibri" w:hAnsi="GHEA Grapalat" w:cs="Sylfaen"/>
          <w:sz w:val="22"/>
          <w:szCs w:val="22"/>
        </w:rPr>
        <w:t xml:space="preserve"> 42.0%-ով, իսկ իրական արտահայտությամբ՝ 35.5%-ով: </w:t>
      </w:r>
    </w:p>
    <w:p w:rsidR="00001922" w:rsidRPr="00E57C0E" w:rsidRDefault="00001922" w:rsidP="00563135">
      <w:pPr>
        <w:pStyle w:val="Heading6"/>
        <w:ind w:left="567"/>
        <w:rPr>
          <w:rFonts w:ascii="GHEA Grapalat" w:hAnsi="GHEA Grapalat"/>
          <w:b/>
          <w:sz w:val="22"/>
          <w:szCs w:val="22"/>
          <w:u w:val="none"/>
        </w:rPr>
      </w:pPr>
      <w:bookmarkStart w:id="27" w:name="_Toc6389323"/>
      <w:bookmarkStart w:id="28" w:name="_Toc37763590"/>
      <w:bookmarkStart w:id="29" w:name="_Toc71311887"/>
    </w:p>
    <w:p w:rsidR="00563135" w:rsidRPr="00E57C0E" w:rsidRDefault="00563135" w:rsidP="00563135">
      <w:pPr>
        <w:pStyle w:val="Heading6"/>
        <w:ind w:left="567"/>
        <w:rPr>
          <w:rFonts w:ascii="GHEA Grapalat" w:hAnsi="GHEA Grapalat"/>
          <w:b/>
          <w:sz w:val="22"/>
          <w:szCs w:val="22"/>
          <w:u w:val="none"/>
        </w:rPr>
      </w:pPr>
      <w:r w:rsidRPr="00E57C0E">
        <w:rPr>
          <w:rFonts w:ascii="GHEA Grapalat" w:hAnsi="GHEA Grapalat"/>
          <w:b/>
          <w:sz w:val="22"/>
          <w:szCs w:val="22"/>
          <w:u w:val="none"/>
        </w:rPr>
        <w:t>Ֆինանսական շուկա</w:t>
      </w:r>
      <w:bookmarkEnd w:id="27"/>
      <w:bookmarkEnd w:id="28"/>
      <w:r w:rsidRPr="00E57C0E">
        <w:rPr>
          <w:rFonts w:ascii="GHEA Grapalat" w:hAnsi="GHEA Grapalat"/>
          <w:b/>
          <w:sz w:val="22"/>
          <w:szCs w:val="22"/>
          <w:u w:val="none"/>
        </w:rPr>
        <w:t>ներ</w:t>
      </w:r>
      <w:r w:rsidRPr="00E57C0E">
        <w:rPr>
          <w:rFonts w:ascii="GHEA Grapalat" w:hAnsi="GHEA Grapalat"/>
          <w:b/>
          <w:sz w:val="22"/>
          <w:szCs w:val="22"/>
          <w:u w:val="none"/>
          <w:vertAlign w:val="superscript"/>
        </w:rPr>
        <w:footnoteReference w:id="21"/>
      </w:r>
      <w:bookmarkEnd w:id="29"/>
    </w:p>
    <w:p w:rsidR="00695CFA" w:rsidRPr="00A857DF" w:rsidRDefault="00695CFA" w:rsidP="0078750C">
      <w:pPr>
        <w:spacing w:line="360" w:lineRule="auto"/>
        <w:ind w:firstLine="567"/>
        <w:jc w:val="both"/>
        <w:rPr>
          <w:rFonts w:ascii="GHEA Grapalat" w:eastAsia="Calibri" w:hAnsi="GHEA Grapalat"/>
          <w:sz w:val="22"/>
          <w:szCs w:val="22"/>
          <w:lang w:val="hy-AM"/>
        </w:rPr>
      </w:pPr>
      <w:r w:rsidRPr="00A857DF">
        <w:rPr>
          <w:rFonts w:ascii="GHEA Grapalat" w:hAnsi="GHEA Grapalat" w:cs="GHEA Grapalat"/>
          <w:b/>
          <w:i/>
          <w:sz w:val="22"/>
          <w:szCs w:val="22"/>
          <w:lang w:val="hy-AM"/>
        </w:rPr>
        <w:t>Վարկեր և ավանդներ:</w:t>
      </w:r>
      <w:r w:rsidRPr="00A857DF">
        <w:rPr>
          <w:rFonts w:ascii="GHEA Grapalat" w:hAnsi="GHEA Grapalat" w:cs="GHEA Grapalat"/>
          <w:sz w:val="22"/>
          <w:szCs w:val="22"/>
          <w:lang w:val="hy-AM"/>
        </w:rPr>
        <w:t xml:space="preserve"> </w:t>
      </w:r>
      <w:r w:rsidRPr="00A857DF">
        <w:rPr>
          <w:rFonts w:ascii="GHEA Grapalat" w:eastAsia="Calibri" w:hAnsi="GHEA Grapalat"/>
          <w:sz w:val="22"/>
          <w:szCs w:val="22"/>
          <w:lang w:val="hy-AM"/>
        </w:rPr>
        <w:t>Բանկային համակարգի ֆինանսական միջնորդությունը 2023</w:t>
      </w:r>
      <w:r w:rsidR="0078750C" w:rsidRPr="00A857DF">
        <w:rPr>
          <w:rFonts w:ascii="GHEA Grapalat" w:eastAsia="Calibri" w:hAnsi="GHEA Grapalat"/>
          <w:sz w:val="22"/>
          <w:szCs w:val="22"/>
          <w:lang w:val="hy-AM"/>
        </w:rPr>
        <w:t xml:space="preserve"> </w:t>
      </w:r>
      <w:r w:rsidRPr="00A857DF">
        <w:rPr>
          <w:rFonts w:ascii="GHEA Grapalat" w:eastAsia="Calibri" w:hAnsi="GHEA Grapalat"/>
          <w:sz w:val="22"/>
          <w:szCs w:val="22"/>
          <w:lang w:val="hy-AM"/>
        </w:rPr>
        <w:t>թ</w:t>
      </w:r>
      <w:r w:rsidR="0078750C" w:rsidRPr="00A857DF">
        <w:rPr>
          <w:rFonts w:ascii="GHEA Grapalat" w:eastAsia="Calibri" w:hAnsi="GHEA Grapalat"/>
          <w:sz w:val="22"/>
          <w:szCs w:val="22"/>
          <w:lang w:val="hy-AM"/>
        </w:rPr>
        <w:t>վական</w:t>
      </w:r>
      <w:r w:rsidRPr="00A857DF">
        <w:rPr>
          <w:rFonts w:ascii="GHEA Grapalat" w:eastAsia="Calibri" w:hAnsi="GHEA Grapalat"/>
          <w:sz w:val="22"/>
          <w:szCs w:val="22"/>
          <w:lang w:val="hy-AM"/>
        </w:rPr>
        <w:t>ի առաջին կիսամյակում բնութագրվում է նախորդ տարվա համեմատությամբ վարկերի և ավանդների աճի տեմպերի էական արագացմամբ, որտեղ վարկերի աճը հիմնականում պայմանավորվում է հիպո</w:t>
      </w:r>
      <w:r w:rsidR="0078750C" w:rsidRPr="00A857DF">
        <w:rPr>
          <w:rFonts w:ascii="GHEA Grapalat" w:eastAsia="Calibri" w:hAnsi="GHEA Grapalat"/>
          <w:sz w:val="22"/>
          <w:szCs w:val="22"/>
          <w:lang w:val="hy-AM"/>
        </w:rPr>
        <w:t>տեկ</w:t>
      </w:r>
      <w:r w:rsidRPr="00A857DF">
        <w:rPr>
          <w:rFonts w:ascii="GHEA Grapalat" w:eastAsia="Calibri" w:hAnsi="GHEA Grapalat"/>
          <w:sz w:val="22"/>
          <w:szCs w:val="22"/>
          <w:lang w:val="hy-AM"/>
        </w:rPr>
        <w:t xml:space="preserve">ային և սպառողական վարկերի բարձր աճի տեմպերով, իսկ վարկերին առաջանցիկ ավանդների ծավալների աճը՝ ոչ ռեզիդենտների և ռեզիդենտների՝ հիմնականում ցպահանջ ավանդների աճերով։ Այս զարգացումների արդյունքում բանկերի իրացվելիության դիրքը բարելավվել է, սակայն հաշվի առնելով ավանդների ավելացման հիմնականում կարճաժամկետ (և </w:t>
      </w:r>
      <w:r w:rsidRPr="00A857DF">
        <w:rPr>
          <w:rFonts w:ascii="GHEA Grapalat" w:eastAsia="Calibri" w:hAnsi="GHEA Grapalat"/>
          <w:sz w:val="22"/>
          <w:szCs w:val="22"/>
          <w:lang w:val="hy-AM"/>
        </w:rPr>
        <w:lastRenderedPageBreak/>
        <w:t>արտարժութային), և վարկերի ավելացման՝ երկարաժամկետ (և դրամային) բնույթը, բանկեր</w:t>
      </w:r>
      <w:r w:rsidR="0078750C" w:rsidRPr="00A857DF">
        <w:rPr>
          <w:rFonts w:ascii="GHEA Grapalat" w:eastAsia="Calibri" w:hAnsi="GHEA Grapalat"/>
          <w:sz w:val="22"/>
          <w:szCs w:val="22"/>
          <w:lang w:val="hy-AM"/>
        </w:rPr>
        <w:t>ն</w:t>
      </w:r>
      <w:r w:rsidRPr="00A857DF">
        <w:rPr>
          <w:rFonts w:ascii="GHEA Grapalat" w:eastAsia="Calibri" w:hAnsi="GHEA Grapalat"/>
          <w:sz w:val="22"/>
          <w:szCs w:val="22"/>
          <w:lang w:val="hy-AM"/>
        </w:rPr>
        <w:t xml:space="preserve"> առավել հաշվենկատ են գտնվում տնտեսությունում լրացուցիչ միջոցները տեղաբաշխելու առումով։ </w:t>
      </w:r>
    </w:p>
    <w:p w:rsidR="008B28E6" w:rsidRPr="003E0B7E" w:rsidRDefault="00695CFA" w:rsidP="0078750C">
      <w:pPr>
        <w:spacing w:line="360" w:lineRule="auto"/>
        <w:ind w:firstLine="567"/>
        <w:jc w:val="both"/>
        <w:rPr>
          <w:rFonts w:ascii="GHEA Grapalat" w:hAnsi="GHEA Grapalat" w:cs="GHEA Grapalat"/>
          <w:sz w:val="22"/>
          <w:szCs w:val="22"/>
          <w:lang w:val="hy-AM"/>
        </w:rPr>
      </w:pPr>
      <w:r w:rsidRPr="003E0B7E">
        <w:rPr>
          <w:rFonts w:ascii="GHEA Grapalat" w:hAnsi="GHEA Grapalat" w:cs="GHEA Grapalat"/>
          <w:sz w:val="22"/>
          <w:szCs w:val="22"/>
          <w:lang w:val="hy-AM"/>
        </w:rPr>
        <w:t xml:space="preserve">2023 թվականի </w:t>
      </w:r>
      <w:r w:rsidR="008B28E6" w:rsidRPr="003E0B7E">
        <w:rPr>
          <w:rFonts w:ascii="GHEA Grapalat" w:hAnsi="GHEA Grapalat" w:cs="GHEA Grapalat"/>
          <w:sz w:val="22"/>
          <w:szCs w:val="22"/>
          <w:lang w:val="hy-AM"/>
        </w:rPr>
        <w:t>առաջ</w:t>
      </w:r>
      <w:r w:rsidRPr="003E0B7E">
        <w:rPr>
          <w:rFonts w:ascii="GHEA Grapalat" w:hAnsi="GHEA Grapalat" w:cs="GHEA Grapalat"/>
          <w:sz w:val="22"/>
          <w:szCs w:val="22"/>
          <w:lang w:val="hy-AM"/>
        </w:rPr>
        <w:t>ին կիսամյակում վարկերի ծավալների աճի տեմպը շարունակել է արագանալ։ 2023 թվականի հունիսին առևտրային բանկերի կողմից ռեզիդենտներին տրամադրված վարկերի ծավալների աճը նախորդ տարվա նույն ամսվա նկատմամբ կազմել է 15.1%</w:t>
      </w:r>
      <w:r w:rsidRPr="00E57C0E">
        <w:rPr>
          <w:rFonts w:ascii="GHEA Grapalat" w:hAnsi="GHEA Grapalat" w:cs="GHEA Grapalat"/>
          <w:sz w:val="22"/>
          <w:szCs w:val="22"/>
          <w:vertAlign w:val="superscript"/>
        </w:rPr>
        <w:footnoteReference w:id="22"/>
      </w:r>
      <w:r w:rsidRPr="003E0B7E">
        <w:rPr>
          <w:rFonts w:ascii="GHEA Grapalat" w:hAnsi="GHEA Grapalat" w:cs="GHEA Grapalat"/>
          <w:sz w:val="22"/>
          <w:szCs w:val="22"/>
          <w:lang w:val="hy-AM"/>
        </w:rPr>
        <w:t>՝ 2022 թվականի հունիսին արձանագրված 1.9%-ի համեմատ: Նշված ցուցանիշին 14.7 տոկոսային կետով նպաստել է դրամային վարկերի աճը, իսկ արտարժութային վարկերը նպաստել են 0.4 տոկոսային կետով: Փոխարժեքի արժևորման գործոն</w:t>
      </w:r>
      <w:r w:rsidR="00267085" w:rsidRPr="003E0B7E">
        <w:rPr>
          <w:rFonts w:ascii="GHEA Grapalat" w:hAnsi="GHEA Grapalat" w:cs="GHEA Grapalat"/>
          <w:sz w:val="22"/>
          <w:szCs w:val="22"/>
          <w:lang w:val="hy-AM"/>
        </w:rPr>
        <w:t>ն</w:t>
      </w:r>
      <w:r w:rsidRPr="003E0B7E">
        <w:rPr>
          <w:rFonts w:ascii="GHEA Grapalat" w:hAnsi="GHEA Grapalat" w:cs="GHEA Grapalat"/>
          <w:sz w:val="22"/>
          <w:szCs w:val="22"/>
          <w:lang w:val="hy-AM"/>
        </w:rPr>
        <w:t xml:space="preserve"> աստիճանաբար առավել քիչ ազդեցություն է ունենում վարկերի աճի տեմպերում՝ հաշվի առնելով վերջինիս առկայությունը հաշվարկման բազայում։</w:t>
      </w:r>
    </w:p>
    <w:p w:rsidR="00695CFA" w:rsidRPr="003E0B7E" w:rsidRDefault="00695CFA" w:rsidP="00695CFA">
      <w:pPr>
        <w:spacing w:before="120" w:line="360" w:lineRule="auto"/>
        <w:ind w:firstLine="567"/>
        <w:jc w:val="both"/>
        <w:rPr>
          <w:rFonts w:ascii="GHEA Grapalat" w:hAnsi="GHEA Grapalat" w:cs="GHEA Grapalat"/>
          <w:sz w:val="22"/>
          <w:szCs w:val="22"/>
          <w:lang w:val="hy-AM"/>
        </w:rPr>
      </w:pPr>
      <w:r w:rsidRPr="003E0B7E">
        <w:rPr>
          <w:rFonts w:ascii="GHEA Grapalat" w:hAnsi="GHEA Grapalat" w:cs="GHEA Grapalat"/>
          <w:sz w:val="22"/>
          <w:szCs w:val="22"/>
          <w:lang w:val="hy-AM"/>
        </w:rPr>
        <w:t xml:space="preserve"> </w:t>
      </w:r>
    </w:p>
    <w:p w:rsidR="00695CFA" w:rsidRPr="003E0B7E" w:rsidRDefault="00695CFA" w:rsidP="008B28E6">
      <w:pPr>
        <w:keepNext/>
        <w:keepLines/>
        <w:numPr>
          <w:ilvl w:val="0"/>
          <w:numId w:val="25"/>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lang w:val="hy-AM"/>
        </w:rPr>
      </w:pPr>
      <w:r w:rsidRPr="003E0B7E">
        <w:rPr>
          <w:rFonts w:ascii="GHEA Grapalat" w:hAnsi="GHEA Grapalat" w:cs="Sylfaen"/>
          <w:sz w:val="22"/>
          <w:szCs w:val="22"/>
          <w:lang w:val="hy-AM"/>
        </w:rPr>
        <w:t>Ռեզիդենտների վարկերի և ավանդների ծավալների աճը (նախորդ տարվա նկատմամբ, %)</w:t>
      </w:r>
      <w:r w:rsidRPr="00E57C0E">
        <w:rPr>
          <w:rFonts w:ascii="GHEA Grapalat" w:hAnsi="GHEA Grapalat" w:cs="Sylfaen"/>
          <w:sz w:val="22"/>
          <w:szCs w:val="22"/>
          <w:vertAlign w:val="superscript"/>
        </w:rPr>
        <w:footnoteReference w:id="23"/>
      </w:r>
    </w:p>
    <w:p w:rsidR="00695CFA" w:rsidRPr="003E0B7E" w:rsidRDefault="00695CFA" w:rsidP="00695CFA">
      <w:pPr>
        <w:jc w:val="both"/>
        <w:rPr>
          <w:rFonts w:ascii="GHEA Grapalat" w:eastAsia="Calibri" w:hAnsi="GHEA Grapalat" w:cs="Sylfaen"/>
          <w:sz w:val="22"/>
          <w:szCs w:val="22"/>
          <w:lang w:val="hy-AM"/>
        </w:rPr>
      </w:pPr>
      <w:r w:rsidRPr="00E57C0E">
        <w:rPr>
          <w:rFonts w:ascii="GHEA Grapalat" w:hAnsi="GHEA Grapalat"/>
          <w:noProof/>
          <w:sz w:val="28"/>
        </w:rPr>
        <w:drawing>
          <wp:inline distT="0" distB="0" distL="0" distR="0" wp14:anchorId="073DBF54" wp14:editId="66E1AAAB">
            <wp:extent cx="3267075" cy="2879725"/>
            <wp:effectExtent l="0" t="0" r="9525" b="15875"/>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3E0B7E">
        <w:rPr>
          <w:rFonts w:ascii="GHEA Grapalat" w:eastAsia="Calibri" w:hAnsi="GHEA Grapalat" w:cs="Sylfaen"/>
          <w:sz w:val="22"/>
          <w:szCs w:val="22"/>
          <w:lang w:val="hy-AM"/>
        </w:rPr>
        <w:t xml:space="preserve"> </w:t>
      </w:r>
      <w:r w:rsidRPr="00E57C0E">
        <w:rPr>
          <w:rFonts w:ascii="GHEA Grapalat" w:hAnsi="GHEA Grapalat"/>
          <w:noProof/>
          <w:sz w:val="28"/>
        </w:rPr>
        <w:drawing>
          <wp:inline distT="0" distB="0" distL="0" distR="0" wp14:anchorId="7A5D41F3" wp14:editId="66B813B1">
            <wp:extent cx="3024000" cy="2880000"/>
            <wp:effectExtent l="0" t="0" r="9525" b="15875"/>
            <wp:docPr id="57"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95CFA" w:rsidRPr="003E0B7E" w:rsidRDefault="00695CFA" w:rsidP="00695CFA">
      <w:pPr>
        <w:spacing w:after="120" w:line="360" w:lineRule="auto"/>
        <w:jc w:val="both"/>
        <w:rPr>
          <w:rFonts w:ascii="GHEA Grapalat" w:eastAsia="Calibri" w:hAnsi="GHEA Grapalat" w:cs="Sylfaen"/>
          <w:sz w:val="22"/>
          <w:szCs w:val="22"/>
          <w:lang w:val="hy-AM"/>
        </w:rPr>
      </w:pPr>
      <w:r w:rsidRPr="003E0B7E">
        <w:rPr>
          <w:rFonts w:ascii="GHEA Grapalat" w:hAnsi="GHEA Grapalat" w:cs="Sylfaen"/>
          <w:i/>
          <w:sz w:val="18"/>
          <w:szCs w:val="18"/>
          <w:lang w:val="hy-AM"/>
        </w:rPr>
        <w:t xml:space="preserve">Աղբյուրը՝ ՀՀ ԿԲ և ՀՀ ՖՆ հաշվարկներ: </w:t>
      </w:r>
    </w:p>
    <w:p w:rsidR="00267085" w:rsidRPr="003E0B7E" w:rsidRDefault="00267085" w:rsidP="00695CFA">
      <w:pPr>
        <w:spacing w:line="360" w:lineRule="auto"/>
        <w:ind w:firstLine="567"/>
        <w:jc w:val="both"/>
        <w:rPr>
          <w:rFonts w:ascii="GHEA Grapalat" w:eastAsia="Calibri" w:hAnsi="GHEA Grapalat" w:cs="Sylfaen"/>
          <w:sz w:val="22"/>
          <w:szCs w:val="22"/>
          <w:lang w:val="hy-AM"/>
        </w:rPr>
      </w:pPr>
    </w:p>
    <w:p w:rsidR="00695CFA" w:rsidRPr="003E0B7E" w:rsidRDefault="00695CFA" w:rsidP="00695CFA">
      <w:pPr>
        <w:spacing w:line="360" w:lineRule="auto"/>
        <w:ind w:firstLine="567"/>
        <w:jc w:val="both"/>
        <w:rPr>
          <w:rFonts w:ascii="GHEA Grapalat" w:eastAsia="Calibri" w:hAnsi="GHEA Grapalat" w:cs="Sylfaen"/>
          <w:sz w:val="22"/>
          <w:szCs w:val="22"/>
          <w:lang w:val="hy-AM"/>
        </w:rPr>
      </w:pPr>
      <w:r w:rsidRPr="003E0B7E">
        <w:rPr>
          <w:rFonts w:ascii="GHEA Grapalat" w:eastAsia="Calibri" w:hAnsi="GHEA Grapalat" w:cs="Sylfaen"/>
          <w:sz w:val="22"/>
          <w:szCs w:val="22"/>
          <w:lang w:val="hy-AM"/>
        </w:rPr>
        <w:t>Վարկերի աճը հիմնականում պայմանավորվել է հիպ</w:t>
      </w:r>
      <w:r w:rsidR="00267085" w:rsidRPr="003E0B7E">
        <w:rPr>
          <w:rFonts w:ascii="GHEA Grapalat" w:eastAsia="Calibri" w:hAnsi="GHEA Grapalat" w:cs="Sylfaen"/>
          <w:sz w:val="22"/>
          <w:szCs w:val="22"/>
          <w:lang w:val="hy-AM"/>
        </w:rPr>
        <w:t>ոտ</w:t>
      </w:r>
      <w:r w:rsidRPr="003E0B7E">
        <w:rPr>
          <w:rFonts w:ascii="GHEA Grapalat" w:eastAsia="Calibri" w:hAnsi="GHEA Grapalat" w:cs="Sylfaen"/>
          <w:sz w:val="22"/>
          <w:szCs w:val="22"/>
          <w:lang w:val="hy-AM"/>
        </w:rPr>
        <w:t>եկային (աճը՝ 32.8%, նպաստումը՝ 6.6 տոկոսային կետ), սպառողական (աճը՝ 16.2%, նպաստումը՝ 3.8 տոկոսային կետ),</w:t>
      </w:r>
      <w:r w:rsidR="008B7237" w:rsidRPr="003E0B7E">
        <w:rPr>
          <w:rFonts w:ascii="GHEA Grapalat" w:eastAsia="Calibri" w:hAnsi="GHEA Grapalat" w:cs="Sylfaen"/>
          <w:sz w:val="22"/>
          <w:szCs w:val="22"/>
          <w:lang w:val="hy-AM"/>
        </w:rPr>
        <w:t xml:space="preserve"> </w:t>
      </w:r>
      <w:r w:rsidRPr="003E0B7E">
        <w:rPr>
          <w:rFonts w:ascii="GHEA Grapalat" w:eastAsia="Calibri" w:hAnsi="GHEA Grapalat" w:cs="Sylfaen"/>
          <w:sz w:val="22"/>
          <w:szCs w:val="22"/>
          <w:lang w:val="hy-AM"/>
        </w:rPr>
        <w:t>շինարարության (աճը՝ 21.9%, նպաստումը՝ 2.0 տոկոսային կետ), այլ (աճը՝ 26.9%, նպաստումը՝ 1.1 տոկոսային կետ), գյուղատնտեսության (աճը՝ 14.6%, նպաստումը՝ 0.9 տոկոսային կետ)</w:t>
      </w:r>
      <w:r w:rsidR="00267085" w:rsidRPr="003E0B7E">
        <w:rPr>
          <w:rFonts w:ascii="GHEA Grapalat" w:eastAsia="Calibri" w:hAnsi="GHEA Grapalat" w:cs="Sylfaen"/>
          <w:sz w:val="22"/>
          <w:szCs w:val="22"/>
          <w:lang w:val="hy-AM"/>
        </w:rPr>
        <w:t xml:space="preserve"> վարկերով</w:t>
      </w:r>
      <w:r w:rsidRPr="003E0B7E">
        <w:rPr>
          <w:rFonts w:ascii="GHEA Grapalat" w:eastAsia="Calibri" w:hAnsi="GHEA Grapalat" w:cs="Sylfaen"/>
          <w:sz w:val="22"/>
          <w:szCs w:val="22"/>
          <w:lang w:val="hy-AM"/>
        </w:rPr>
        <w:t xml:space="preserve">, ինչպես նաև առավել </w:t>
      </w:r>
      <w:r w:rsidRPr="003E0B7E">
        <w:rPr>
          <w:rFonts w:ascii="GHEA Grapalat" w:eastAsia="Calibri" w:hAnsi="GHEA Grapalat" w:cs="Sylfaen"/>
          <w:sz w:val="22"/>
          <w:szCs w:val="22"/>
          <w:lang w:val="hy-AM"/>
        </w:rPr>
        <w:lastRenderedPageBreak/>
        <w:t>փոքր նպաստումներով առևտրի, տրանսպորտի և կապի, սպասարկման ոլորտների վարկերով։ Միաժամանակ, արդյունաբերության ոլորտին ուղղված վարկերը բացասական նպաստում են ունեցել (աճը՝ -4.2%, նպաստումը՝ -0.6 տոկոսային կետ) ընդհանուր վարկերի աճին, ինչը պայմանավորված է ինչպես մշակող արդյունաբերության, այնպես էլ մետաղական հանքաքարի արդյունահանման</w:t>
      </w:r>
      <w:r w:rsidR="00267085" w:rsidRPr="003E0B7E">
        <w:rPr>
          <w:rFonts w:ascii="GHEA Grapalat" w:eastAsia="Calibri" w:hAnsi="GHEA Grapalat" w:cs="Sylfaen"/>
          <w:sz w:val="22"/>
          <w:szCs w:val="22"/>
          <w:lang w:val="hy-AM"/>
        </w:rPr>
        <w:t>ն</w:t>
      </w:r>
      <w:r w:rsidRPr="003E0B7E">
        <w:rPr>
          <w:rFonts w:ascii="GHEA Grapalat" w:eastAsia="Calibri" w:hAnsi="GHEA Grapalat" w:cs="Sylfaen"/>
          <w:sz w:val="22"/>
          <w:szCs w:val="22"/>
          <w:lang w:val="hy-AM"/>
        </w:rPr>
        <w:t xml:space="preserve"> ուղղված վարկերի բացասական նպաստումներով:</w:t>
      </w:r>
    </w:p>
    <w:p w:rsidR="00695CFA" w:rsidRPr="003E0B7E" w:rsidRDefault="00695CFA" w:rsidP="00695CFA">
      <w:pPr>
        <w:spacing w:line="360" w:lineRule="auto"/>
        <w:ind w:firstLine="567"/>
        <w:jc w:val="both"/>
        <w:rPr>
          <w:rFonts w:ascii="GHEA Grapalat" w:eastAsia="Calibri" w:hAnsi="GHEA Grapalat" w:cs="Sylfaen"/>
          <w:sz w:val="22"/>
          <w:szCs w:val="22"/>
          <w:lang w:val="hy-AM"/>
        </w:rPr>
      </w:pPr>
      <w:r w:rsidRPr="003E0B7E">
        <w:rPr>
          <w:rFonts w:ascii="GHEA Grapalat" w:eastAsia="Calibri" w:hAnsi="GHEA Grapalat" w:cs="Sylfaen"/>
          <w:sz w:val="22"/>
          <w:szCs w:val="22"/>
          <w:lang w:val="hy-AM"/>
        </w:rPr>
        <w:t>2023 թվականի</w:t>
      </w:r>
      <w:r w:rsidR="00267085" w:rsidRPr="003E0B7E">
        <w:rPr>
          <w:rFonts w:ascii="GHEA Grapalat" w:eastAsia="Calibri" w:hAnsi="GHEA Grapalat" w:cs="Sylfaen"/>
          <w:sz w:val="22"/>
          <w:szCs w:val="22"/>
          <w:lang w:val="hy-AM"/>
        </w:rPr>
        <w:t xml:space="preserve"> առաջ</w:t>
      </w:r>
      <w:r w:rsidRPr="003E0B7E">
        <w:rPr>
          <w:rFonts w:ascii="GHEA Grapalat" w:eastAsia="Calibri" w:hAnsi="GHEA Grapalat" w:cs="Sylfaen"/>
          <w:sz w:val="22"/>
          <w:szCs w:val="22"/>
          <w:lang w:val="hy-AM"/>
        </w:rPr>
        <w:t>ին կիսամյակում ավանդների ծավալներ</w:t>
      </w:r>
      <w:r w:rsidR="00B37A29" w:rsidRPr="003E0B7E">
        <w:rPr>
          <w:rFonts w:ascii="GHEA Grapalat" w:eastAsia="Calibri" w:hAnsi="GHEA Grapalat" w:cs="Sylfaen"/>
          <w:sz w:val="22"/>
          <w:szCs w:val="22"/>
          <w:lang w:val="hy-AM"/>
        </w:rPr>
        <w:t>ի</w:t>
      </w:r>
      <w:r w:rsidRPr="003E0B7E">
        <w:rPr>
          <w:rFonts w:ascii="GHEA Grapalat" w:eastAsia="Calibri" w:hAnsi="GHEA Grapalat" w:cs="Sylfaen"/>
          <w:sz w:val="22"/>
          <w:szCs w:val="22"/>
          <w:lang w:val="hy-AM"/>
        </w:rPr>
        <w:t xml:space="preserve"> աճի տեմպը ևս շարունակել է արագանալ՝ առաջանցիկ լինելով վարկերի աճի նկատմամբ։ Առևտրային բանկերի կողմից ռեզիդենտներից ներգրավված ավանդներն աճել են 23.9%</w:t>
      </w:r>
      <w:r w:rsidRPr="003E0B7E">
        <w:rPr>
          <w:rFonts w:ascii="GHEA Grapalat" w:eastAsia="Calibri" w:hAnsi="GHEA Grapalat" w:cs="Sylfaen"/>
          <w:sz w:val="22"/>
          <w:szCs w:val="22"/>
          <w:lang w:val="hy-AM"/>
        </w:rPr>
        <w:noBreakHyphen/>
        <w:t>ով, որին նպաստել է ինչպես տնային տնտեսությունների, այնպես էլ ձեռնարկությունների ավանդների աճը՝ համապատասխանաբար 10.5 և 6.1 տոկոսային կետերով։ Արժութային կառուցվածքի տեսակետից 9.0 տոկոսային կետով դրական նպաստում է ունեցել դրամային ավանդների աճը, իսկ արտարժութային ավանդների նպաստումը կազմել է 14.9 տոկոսային կետ: Ռեզիդենտների ավանդների աճի մեծ մասը տեղի է ունեցել ցպահանջ ավանդների հաշվին։ Վերջիններիս նպաստումը ռեզիդենտների ավանդային պորտֆելի աճին կազմել է 17.1 տոկոսային կետ, իսկ ժամկետային ավանդների նպաստումը՝ 6.8</w:t>
      </w:r>
      <w:r w:rsidR="00B37A29" w:rsidRPr="003E0B7E">
        <w:rPr>
          <w:rFonts w:ascii="GHEA Grapalat" w:eastAsia="Calibri" w:hAnsi="GHEA Grapalat" w:cs="Sylfaen"/>
          <w:sz w:val="22"/>
          <w:szCs w:val="22"/>
          <w:lang w:val="hy-AM"/>
        </w:rPr>
        <w:t xml:space="preserve"> տոկոս</w:t>
      </w:r>
      <w:r w:rsidRPr="003E0B7E">
        <w:rPr>
          <w:rFonts w:ascii="GHEA Grapalat" w:eastAsia="Calibri" w:hAnsi="GHEA Grapalat" w:cs="Sylfaen"/>
          <w:sz w:val="22"/>
          <w:szCs w:val="22"/>
          <w:lang w:val="hy-AM"/>
        </w:rPr>
        <w:t xml:space="preserve">ային կետ։ </w:t>
      </w:r>
    </w:p>
    <w:p w:rsidR="00695CFA" w:rsidRPr="003E0B7E" w:rsidRDefault="00695CFA" w:rsidP="00695CFA">
      <w:pPr>
        <w:spacing w:line="360" w:lineRule="auto"/>
        <w:ind w:firstLine="567"/>
        <w:jc w:val="both"/>
        <w:rPr>
          <w:rFonts w:ascii="GHEA Grapalat" w:eastAsia="Calibri" w:hAnsi="GHEA Grapalat" w:cs="Sylfaen"/>
          <w:sz w:val="22"/>
          <w:szCs w:val="22"/>
          <w:lang w:val="hy-AM"/>
        </w:rPr>
      </w:pPr>
      <w:r w:rsidRPr="003E0B7E">
        <w:rPr>
          <w:rFonts w:ascii="GHEA Grapalat" w:eastAsia="Calibri" w:hAnsi="GHEA Grapalat" w:cs="Sylfaen"/>
          <w:sz w:val="22"/>
          <w:szCs w:val="22"/>
          <w:lang w:val="hy-AM"/>
        </w:rPr>
        <w:t>Ոչ ռեզիդենտների ավանդների աճի տեմպը 2022 թվականի տարեվերջի կտրուկ արագացումից հետո որոշակի դանդաղել է՝ 2023</w:t>
      </w:r>
      <w:r w:rsidR="00B37A29" w:rsidRPr="003E0B7E">
        <w:rPr>
          <w:rFonts w:ascii="GHEA Grapalat" w:eastAsia="Calibri" w:hAnsi="GHEA Grapalat" w:cs="Sylfaen"/>
          <w:sz w:val="22"/>
          <w:szCs w:val="22"/>
          <w:lang w:val="hy-AM"/>
        </w:rPr>
        <w:t xml:space="preserve"> </w:t>
      </w:r>
      <w:r w:rsidRPr="003E0B7E">
        <w:rPr>
          <w:rFonts w:ascii="GHEA Grapalat" w:eastAsia="Calibri" w:hAnsi="GHEA Grapalat" w:cs="Sylfaen"/>
          <w:sz w:val="22"/>
          <w:szCs w:val="22"/>
          <w:lang w:val="hy-AM"/>
        </w:rPr>
        <w:t>թ</w:t>
      </w:r>
      <w:r w:rsidR="00B37A29" w:rsidRPr="003E0B7E">
        <w:rPr>
          <w:rFonts w:ascii="GHEA Grapalat" w:eastAsia="Calibri" w:hAnsi="GHEA Grapalat" w:cs="Sylfaen"/>
          <w:sz w:val="22"/>
          <w:szCs w:val="22"/>
          <w:lang w:val="hy-AM"/>
        </w:rPr>
        <w:t>վական</w:t>
      </w:r>
      <w:r w:rsidRPr="003E0B7E">
        <w:rPr>
          <w:rFonts w:ascii="GHEA Grapalat" w:eastAsia="Calibri" w:hAnsi="GHEA Grapalat" w:cs="Sylfaen"/>
          <w:sz w:val="22"/>
          <w:szCs w:val="22"/>
          <w:lang w:val="hy-AM"/>
        </w:rPr>
        <w:t>ի առաջին կիսամյակի վերջին կազմելով 38.4%։ Ոչ ռեզիդենտների ավանդների աճը հիմնականում տեղի է ունեցել արտարժույթով ավանդների հաշվին, որոնց աճի տեմպը կազմել է 46.3%, իսկ դրանց նպաստումը՝ 36.5 տոկոսային կետ՝ արտահայտելով</w:t>
      </w:r>
      <w:r w:rsidR="008B7237" w:rsidRPr="003E0B7E">
        <w:rPr>
          <w:rFonts w:ascii="GHEA Grapalat" w:eastAsia="Calibri" w:hAnsi="GHEA Grapalat" w:cs="Sylfaen"/>
          <w:sz w:val="22"/>
          <w:szCs w:val="22"/>
          <w:lang w:val="hy-AM"/>
        </w:rPr>
        <w:t xml:space="preserve"> </w:t>
      </w:r>
      <w:r w:rsidRPr="003E0B7E">
        <w:rPr>
          <w:rFonts w:ascii="GHEA Grapalat" w:eastAsia="Calibri" w:hAnsi="GHEA Grapalat" w:cs="Sylfaen"/>
          <w:sz w:val="22"/>
          <w:szCs w:val="22"/>
          <w:lang w:val="hy-AM"/>
        </w:rPr>
        <w:t xml:space="preserve">միջազգային այցելուներով, ինչպես նաև աշխատանքային նպատակներով տեղափոխված անձանցով պայմանավորված արտարժութային հոսքերը դեպի ՀՀ։ </w:t>
      </w:r>
    </w:p>
    <w:p w:rsidR="00695CFA" w:rsidRPr="003E0B7E" w:rsidRDefault="00695CFA" w:rsidP="00695CFA">
      <w:pPr>
        <w:spacing w:line="360" w:lineRule="auto"/>
        <w:ind w:firstLine="567"/>
        <w:jc w:val="both"/>
        <w:rPr>
          <w:rFonts w:ascii="GHEA Grapalat" w:eastAsia="Calibri" w:hAnsi="GHEA Grapalat" w:cs="Sylfaen"/>
          <w:sz w:val="22"/>
          <w:szCs w:val="22"/>
          <w:lang w:val="hy-AM"/>
        </w:rPr>
      </w:pPr>
      <w:r w:rsidRPr="003E0B7E">
        <w:rPr>
          <w:rFonts w:ascii="GHEA Grapalat" w:eastAsia="Calibri" w:hAnsi="GHEA Grapalat" w:cs="Sylfaen"/>
          <w:sz w:val="22"/>
          <w:szCs w:val="22"/>
          <w:lang w:val="hy-AM"/>
        </w:rPr>
        <w:t xml:space="preserve">2023 թվականի </w:t>
      </w:r>
      <w:r w:rsidR="00B37A29" w:rsidRPr="003E0B7E">
        <w:rPr>
          <w:rFonts w:ascii="GHEA Grapalat" w:eastAsia="Calibri" w:hAnsi="GHEA Grapalat" w:cs="Sylfaen"/>
          <w:sz w:val="22"/>
          <w:szCs w:val="22"/>
          <w:lang w:val="hy-AM"/>
        </w:rPr>
        <w:t>առաջ</w:t>
      </w:r>
      <w:r w:rsidRPr="003E0B7E">
        <w:rPr>
          <w:rFonts w:ascii="GHEA Grapalat" w:eastAsia="Calibri" w:hAnsi="GHEA Grapalat" w:cs="Sylfaen"/>
          <w:sz w:val="22"/>
          <w:szCs w:val="22"/>
          <w:lang w:val="hy-AM"/>
        </w:rPr>
        <w:t>ին կիսամյակի ընթացքում ավանդների դոլարայնացման մակարդակն աճել է 1.3</w:t>
      </w:r>
      <w:r w:rsidR="00B37A29" w:rsidRPr="003E0B7E">
        <w:rPr>
          <w:rFonts w:ascii="GHEA Grapalat" w:eastAsia="Calibri" w:hAnsi="GHEA Grapalat" w:cs="Sylfaen"/>
          <w:sz w:val="22"/>
          <w:szCs w:val="22"/>
          <w:lang w:val="hy-AM"/>
        </w:rPr>
        <w:t xml:space="preserve"> տոկոս</w:t>
      </w:r>
      <w:r w:rsidRPr="003E0B7E">
        <w:rPr>
          <w:rFonts w:ascii="GHEA Grapalat" w:eastAsia="Calibri" w:hAnsi="GHEA Grapalat" w:cs="Sylfaen"/>
          <w:sz w:val="22"/>
          <w:szCs w:val="22"/>
          <w:lang w:val="hy-AM"/>
        </w:rPr>
        <w:t>ային կետով` հունիսին կազմելով 51.7%, իսկ վարկերի դոլարայնացման մակարդակը</w:t>
      </w:r>
      <w:r w:rsidR="00B37A29" w:rsidRPr="003E0B7E">
        <w:rPr>
          <w:rFonts w:ascii="GHEA Grapalat" w:eastAsia="Calibri" w:hAnsi="GHEA Grapalat" w:cs="Sylfaen"/>
          <w:sz w:val="22"/>
          <w:szCs w:val="22"/>
          <w:lang w:val="hy-AM"/>
        </w:rPr>
        <w:t>՝</w:t>
      </w:r>
      <w:r w:rsidRPr="003E0B7E">
        <w:rPr>
          <w:rFonts w:ascii="GHEA Grapalat" w:eastAsia="Calibri" w:hAnsi="GHEA Grapalat" w:cs="Sylfaen"/>
          <w:sz w:val="22"/>
          <w:szCs w:val="22"/>
          <w:lang w:val="hy-AM"/>
        </w:rPr>
        <w:t xml:space="preserve"> նվազել 4.3</w:t>
      </w:r>
      <w:r w:rsidR="00B37A29" w:rsidRPr="003E0B7E">
        <w:rPr>
          <w:rFonts w:ascii="GHEA Grapalat" w:eastAsia="Calibri" w:hAnsi="GHEA Grapalat" w:cs="Sylfaen"/>
          <w:sz w:val="22"/>
          <w:szCs w:val="22"/>
          <w:lang w:val="hy-AM"/>
        </w:rPr>
        <w:t xml:space="preserve"> տոկոս</w:t>
      </w:r>
      <w:r w:rsidRPr="003E0B7E">
        <w:rPr>
          <w:rFonts w:ascii="GHEA Grapalat" w:eastAsia="Calibri" w:hAnsi="GHEA Grapalat" w:cs="Sylfaen"/>
          <w:sz w:val="22"/>
          <w:szCs w:val="22"/>
          <w:lang w:val="hy-AM"/>
        </w:rPr>
        <w:t xml:space="preserve">ային կետով` կազմելով 35.7%: Միայն ռեզիդենտների ցուցանիշները դիտարկելու դեպքում, ավանդների դոլարայնացումը նախորդ տարվա համեմատ նվազել է 0.8 տոկոսային կետով՝ կազմելով 41%, իսկ վարկերի դոլարայնացումը նվազել է 4.8 տոկոսային կետով՝ կազմելով 34.2%։ Փոխարժեքի ազդեցությունը դոլարայնացման ցուցանիշների վրա փոքրացել է, և էական տարբերություններ չի արտացոլում։ </w:t>
      </w:r>
    </w:p>
    <w:p w:rsidR="00695CFA" w:rsidRPr="00E57C0E" w:rsidRDefault="00695CFA" w:rsidP="00B37A29">
      <w:pPr>
        <w:keepNext/>
        <w:keepLines/>
        <w:numPr>
          <w:ilvl w:val="0"/>
          <w:numId w:val="25"/>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lastRenderedPageBreak/>
        <w:t>ՀՀ բանկերի վարկային և ավանդային պորտֆելները, 2018</w:t>
      </w:r>
      <w:proofErr w:type="gramStart"/>
      <w:r w:rsidRPr="00E57C0E">
        <w:rPr>
          <w:rFonts w:ascii="GHEA Grapalat" w:hAnsi="GHEA Grapalat" w:cs="Sylfaen"/>
          <w:sz w:val="22"/>
          <w:szCs w:val="22"/>
        </w:rPr>
        <w:t>թ.-</w:t>
      </w:r>
      <w:proofErr w:type="gramEnd"/>
      <w:r w:rsidRPr="00E57C0E">
        <w:rPr>
          <w:rFonts w:ascii="GHEA Grapalat" w:hAnsi="GHEA Grapalat" w:cs="Sylfaen"/>
          <w:sz w:val="22"/>
          <w:szCs w:val="22"/>
        </w:rPr>
        <w:t>ից 2023թ</w:t>
      </w:r>
      <w:r w:rsidRPr="00E57C0E">
        <w:rPr>
          <w:rFonts w:ascii="Cambria Math" w:hAnsi="Cambria Math" w:cs="Cambria Math"/>
          <w:sz w:val="22"/>
          <w:szCs w:val="22"/>
        </w:rPr>
        <w:t>․</w:t>
      </w:r>
      <w:r w:rsidRPr="00E57C0E">
        <w:rPr>
          <w:rFonts w:ascii="GHEA Grapalat" w:hAnsi="GHEA Grapalat" w:cs="Sylfaen"/>
          <w:sz w:val="22"/>
          <w:szCs w:val="22"/>
        </w:rPr>
        <w:t xml:space="preserve"> հունիս</w:t>
      </w:r>
    </w:p>
    <w:p w:rsidR="00695CFA" w:rsidRPr="00E57C0E" w:rsidRDefault="00695CFA" w:rsidP="00695CFA">
      <w:pPr>
        <w:spacing w:line="360" w:lineRule="auto"/>
        <w:jc w:val="both"/>
        <w:rPr>
          <w:rFonts w:ascii="GHEA Grapalat" w:eastAsia="Calibri" w:hAnsi="GHEA Grapalat" w:cs="Sylfaen"/>
          <w:sz w:val="22"/>
          <w:szCs w:val="22"/>
        </w:rPr>
      </w:pPr>
      <w:r w:rsidRPr="00E57C0E">
        <w:rPr>
          <w:rFonts w:ascii="GHEA Grapalat" w:eastAsia="Calibri" w:hAnsi="GHEA Grapalat" w:cs="Sylfaen"/>
          <w:noProof/>
          <w:sz w:val="22"/>
          <w:szCs w:val="22"/>
        </w:rPr>
        <w:drawing>
          <wp:inline distT="0" distB="0" distL="0" distR="0" wp14:anchorId="3ED8566D" wp14:editId="0C78675F">
            <wp:extent cx="3057525" cy="3200400"/>
            <wp:effectExtent l="0" t="0" r="9525"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57C0E">
        <w:rPr>
          <w:rFonts w:ascii="GHEA Grapalat" w:eastAsia="Calibri" w:hAnsi="GHEA Grapalat" w:cs="Sylfaen"/>
          <w:sz w:val="22"/>
          <w:szCs w:val="22"/>
        </w:rPr>
        <w:t xml:space="preserve"> </w:t>
      </w:r>
      <w:r w:rsidRPr="00E57C0E">
        <w:rPr>
          <w:rFonts w:ascii="GHEA Grapalat" w:eastAsia="Calibri" w:hAnsi="GHEA Grapalat" w:cs="Sylfaen"/>
          <w:noProof/>
          <w:sz w:val="22"/>
          <w:szCs w:val="22"/>
        </w:rPr>
        <w:drawing>
          <wp:inline distT="0" distB="0" distL="0" distR="0" wp14:anchorId="02225DD7" wp14:editId="7B76A8AA">
            <wp:extent cx="314325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95CFA" w:rsidRPr="00E57C0E" w:rsidRDefault="00695CFA" w:rsidP="00695CFA">
      <w:pPr>
        <w:spacing w:after="120" w:line="360" w:lineRule="auto"/>
        <w:jc w:val="both"/>
        <w:rPr>
          <w:rFonts w:ascii="GHEA Grapalat" w:eastAsia="Calibri" w:hAnsi="GHEA Grapalat" w:cs="Sylfaen"/>
          <w:i/>
          <w:iCs/>
          <w:sz w:val="22"/>
          <w:szCs w:val="22"/>
        </w:rPr>
      </w:pPr>
      <w:r w:rsidRPr="00E57C0E">
        <w:rPr>
          <w:rFonts w:ascii="GHEA Grapalat" w:hAnsi="GHEA Grapalat"/>
          <w:i/>
          <w:iCs/>
          <w:sz w:val="18"/>
          <w:szCs w:val="18"/>
        </w:rPr>
        <w:t>Աղբյուրը՝ ՀՀ ԿԲ, ՀՀ ՖՆ հաշվարկներ</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hAnsi="GHEA Grapalat" w:cs="GHEA Grapalat"/>
          <w:b/>
          <w:i/>
          <w:sz w:val="22"/>
          <w:szCs w:val="22"/>
        </w:rPr>
        <w:t>Վարկերի և ավանդների տոկոսադրույքներ:</w:t>
      </w:r>
      <w:r w:rsidRPr="00E57C0E">
        <w:rPr>
          <w:rFonts w:ascii="GHEA Grapalat" w:hAnsi="GHEA Grapalat" w:cs="GHEA Grapalat"/>
          <w:sz w:val="22"/>
          <w:szCs w:val="22"/>
        </w:rPr>
        <w:t xml:space="preserve"> </w:t>
      </w:r>
      <w:r w:rsidRPr="00E57C0E">
        <w:rPr>
          <w:rFonts w:ascii="GHEA Grapalat" w:eastAsia="Calibri" w:hAnsi="GHEA Grapalat" w:cs="Sylfaen"/>
          <w:sz w:val="22"/>
          <w:szCs w:val="22"/>
        </w:rPr>
        <w:t>2023</w:t>
      </w:r>
      <w:r w:rsidR="003D7E4C" w:rsidRPr="00E57C0E">
        <w:rPr>
          <w:rFonts w:ascii="GHEA Grapalat" w:eastAsia="Calibri" w:hAnsi="GHEA Grapalat" w:cs="Sylfaen"/>
          <w:sz w:val="22"/>
          <w:szCs w:val="22"/>
        </w:rPr>
        <w:t xml:space="preserve"> </w:t>
      </w:r>
      <w:r w:rsidRPr="00E57C0E">
        <w:rPr>
          <w:rFonts w:ascii="GHEA Grapalat" w:eastAsia="Calibri" w:hAnsi="GHEA Grapalat" w:cs="Sylfaen"/>
          <w:sz w:val="22"/>
          <w:szCs w:val="22"/>
        </w:rPr>
        <w:t>թ</w:t>
      </w:r>
      <w:r w:rsidR="003D7E4C" w:rsidRPr="00E57C0E">
        <w:rPr>
          <w:rFonts w:ascii="GHEA Grapalat" w:eastAsia="Calibri" w:hAnsi="GHEA Grapalat" w:cs="Sylfaen"/>
          <w:sz w:val="22"/>
          <w:szCs w:val="22"/>
        </w:rPr>
        <w:t>վականի</w:t>
      </w:r>
      <w:r w:rsidRPr="00E57C0E">
        <w:rPr>
          <w:rFonts w:ascii="GHEA Grapalat" w:eastAsia="Calibri" w:hAnsi="GHEA Grapalat" w:cs="Sylfaen"/>
          <w:sz w:val="22"/>
          <w:szCs w:val="22"/>
        </w:rPr>
        <w:t xml:space="preserve"> </w:t>
      </w:r>
      <w:r w:rsidR="003D7E4C" w:rsidRPr="00E57C0E">
        <w:rPr>
          <w:rFonts w:ascii="GHEA Grapalat" w:eastAsia="Calibri" w:hAnsi="GHEA Grapalat" w:cs="Sylfaen"/>
          <w:sz w:val="22"/>
          <w:szCs w:val="22"/>
        </w:rPr>
        <w:t>առաջ</w:t>
      </w:r>
      <w:r w:rsidRPr="00E57C0E">
        <w:rPr>
          <w:rFonts w:ascii="GHEA Grapalat" w:eastAsia="Calibri" w:hAnsi="GHEA Grapalat" w:cs="Sylfaen"/>
          <w:sz w:val="22"/>
          <w:szCs w:val="22"/>
        </w:rPr>
        <w:t>ին կիսամյակում բանկային տոկոսադրույքները նախորդ տարվա նույն ժամանակահատվածի համեմատ հիմնականում չափավոր ավելացել են, ինչը կարող է պայմանավորված լինել ինչպես վերաֆինանսավորման տոկոսադրույքի բարձրացմամբ, այնպես էլ պորտֆելի կառուցվածքի փոփոխություններով (տնտեսության ոլորտներին տրվող վարկերի կշռի նվազում և հիպո</w:t>
      </w:r>
      <w:r w:rsidR="003D7E4C" w:rsidRPr="00E57C0E">
        <w:rPr>
          <w:rFonts w:ascii="GHEA Grapalat" w:eastAsia="Calibri" w:hAnsi="GHEA Grapalat" w:cs="Sylfaen"/>
          <w:sz w:val="22"/>
          <w:szCs w:val="22"/>
        </w:rPr>
        <w:t>տեկ</w:t>
      </w:r>
      <w:r w:rsidRPr="00E57C0E">
        <w:rPr>
          <w:rFonts w:ascii="GHEA Grapalat" w:eastAsia="Calibri" w:hAnsi="GHEA Grapalat" w:cs="Sylfaen"/>
          <w:sz w:val="22"/>
          <w:szCs w:val="22"/>
        </w:rPr>
        <w:t>ային ու սպառողական վարկերի կշռի աճ) և առանձին վարկատեսակների (հիմնականում՝ հիպո</w:t>
      </w:r>
      <w:r w:rsidR="003D7E4C" w:rsidRPr="00E57C0E">
        <w:rPr>
          <w:rFonts w:ascii="GHEA Grapalat" w:eastAsia="Calibri" w:hAnsi="GHEA Grapalat" w:cs="Sylfaen"/>
          <w:sz w:val="22"/>
          <w:szCs w:val="22"/>
        </w:rPr>
        <w:t>տեկ</w:t>
      </w:r>
      <w:r w:rsidRPr="00E57C0E">
        <w:rPr>
          <w:rFonts w:ascii="GHEA Grapalat" w:eastAsia="Calibri" w:hAnsi="GHEA Grapalat" w:cs="Sylfaen"/>
          <w:sz w:val="22"/>
          <w:szCs w:val="22"/>
        </w:rPr>
        <w:t>ային) նկատմամբ պահանջարկի շարունակական աճով։ 2023 թվականի առաջին կիսամյակում ՀՀ դրամով վարկավորման (մինչև մեկ տարի ժամկետով) միջին տարեկան տոկոսադրույքը կազմել է 12.3%՝ նախորդ տարվա նույն ժամանակահատվածի նկատմամբ աճելով 0.4 տոկոսային կետով: ՀՀ դրամային ավանդների (մինչև մեկ տարի ժամկետով) միջին տոկոսադրույքը կազմել է 8.3%՝ աճելով 0.6 տոկոսային կետով:</w:t>
      </w:r>
      <w:r w:rsidRPr="00E57C0E">
        <w:rPr>
          <w:rFonts w:ascii="GHEA Grapalat" w:eastAsia="Calibri" w:hAnsi="GHEA Grapalat" w:cs="Sylfaen"/>
          <w:sz w:val="22"/>
          <w:szCs w:val="22"/>
        </w:rPr>
        <w:tab/>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Արտարժույթով ավանդների (մինչև մեկ տարի ժամկետով) տոկոսադրույք</w:t>
      </w:r>
      <w:r w:rsidR="003D7E4C" w:rsidRPr="00E57C0E">
        <w:rPr>
          <w:rFonts w:ascii="GHEA Grapalat" w:eastAsia="Calibri" w:hAnsi="GHEA Grapalat" w:cs="Sylfaen"/>
          <w:sz w:val="22"/>
          <w:szCs w:val="22"/>
        </w:rPr>
        <w:t>ն</w:t>
      </w:r>
      <w:r w:rsidRPr="00E57C0E">
        <w:rPr>
          <w:rFonts w:ascii="GHEA Grapalat" w:eastAsia="Calibri" w:hAnsi="GHEA Grapalat" w:cs="Sylfaen"/>
          <w:sz w:val="22"/>
          <w:szCs w:val="22"/>
        </w:rPr>
        <w:t xml:space="preserve"> աճել է 0.3 տոկոսային կետով՝ կազմելով 2.3%, իսկ վարկերի տոկոսադրույքը նվազել է 0.2 տոկոսային կետով՝ կազմելով 7.6%: </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Ֆինանսական շուկայում արտարժույթով և դրամով միջին կշռված մինչև 1 տարի ժամկետով տոկոսադրույքների միջև միջին սպրեդը 2023 թվականի</w:t>
      </w:r>
      <w:r w:rsidR="003D7E4C" w:rsidRPr="00E57C0E">
        <w:rPr>
          <w:rFonts w:ascii="GHEA Grapalat" w:eastAsia="Calibri" w:hAnsi="GHEA Grapalat" w:cs="Sylfaen"/>
          <w:sz w:val="22"/>
          <w:szCs w:val="22"/>
        </w:rPr>
        <w:t xml:space="preserve"> առաջ</w:t>
      </w:r>
      <w:r w:rsidRPr="00E57C0E">
        <w:rPr>
          <w:rFonts w:ascii="GHEA Grapalat" w:eastAsia="Calibri" w:hAnsi="GHEA Grapalat" w:cs="Sylfaen"/>
          <w:sz w:val="22"/>
          <w:szCs w:val="22"/>
        </w:rPr>
        <w:t>ին կիսամյակում նախորդ տարվա նույն ժամանակահատվածի նկատմամբ աճել է 0.7 տոկոսային կետով և կազմել 5</w:t>
      </w:r>
      <w:r w:rsidRPr="00E57C0E">
        <w:rPr>
          <w:rFonts w:ascii="Cambria Math" w:eastAsia="Calibri" w:hAnsi="Cambria Math" w:cs="Cambria Math"/>
          <w:sz w:val="22"/>
          <w:szCs w:val="22"/>
        </w:rPr>
        <w:t>․</w:t>
      </w:r>
      <w:r w:rsidRPr="00E57C0E">
        <w:rPr>
          <w:rFonts w:ascii="GHEA Grapalat" w:eastAsia="Calibri" w:hAnsi="GHEA Grapalat" w:cs="Sylfaen"/>
          <w:sz w:val="22"/>
          <w:szCs w:val="22"/>
        </w:rPr>
        <w:t xml:space="preserve">5 տոկոս: Դրամով վարկերի և ավանդների միջև տոկոսադրույքների </w:t>
      </w:r>
      <w:r w:rsidR="003D7E4C" w:rsidRPr="00E57C0E">
        <w:rPr>
          <w:rFonts w:ascii="GHEA Grapalat" w:eastAsia="Calibri" w:hAnsi="GHEA Grapalat" w:cs="Sylfaen"/>
          <w:sz w:val="22"/>
          <w:szCs w:val="22"/>
        </w:rPr>
        <w:t>սպրեդն</w:t>
      </w:r>
      <w:r w:rsidRPr="00E57C0E">
        <w:rPr>
          <w:rFonts w:ascii="GHEA Grapalat" w:eastAsia="Calibri" w:hAnsi="GHEA Grapalat" w:cs="Sylfaen"/>
          <w:sz w:val="22"/>
          <w:szCs w:val="22"/>
        </w:rPr>
        <w:t xml:space="preserve"> աճել է 0.8 տոկոսային կետով և կազմել 4%, իսկ արտարժույթով վարկերի և ավանդների սպրեդը նվազել է 0.5 տոկոսային կետով՝ կազմելով 5.3%:</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hAnsi="GHEA Grapalat" w:cs="GHEA Grapalat"/>
          <w:b/>
          <w:i/>
          <w:sz w:val="22"/>
          <w:szCs w:val="22"/>
        </w:rPr>
        <w:lastRenderedPageBreak/>
        <w:t>ՀՀ պետական պարտատոմսերի շուկա:</w:t>
      </w:r>
      <w:r w:rsidRPr="00E57C0E">
        <w:rPr>
          <w:rFonts w:ascii="GHEA Grapalat" w:hAnsi="GHEA Grapalat" w:cs="GHEA Grapalat"/>
          <w:sz w:val="22"/>
          <w:szCs w:val="22"/>
        </w:rPr>
        <w:t xml:space="preserve"> </w:t>
      </w:r>
      <w:r w:rsidRPr="00E57C0E">
        <w:rPr>
          <w:rFonts w:ascii="GHEA Grapalat" w:eastAsia="Calibri" w:hAnsi="GHEA Grapalat" w:cs="Sylfaen"/>
          <w:sz w:val="22"/>
          <w:szCs w:val="22"/>
        </w:rPr>
        <w:t xml:space="preserve">ՀՀ պետական պարտատոմսերի շուկայում նախորդ տարվա նույն ժամանակահատվածի համեմատությամբ ՊՊ տեղաբաշխման միջին կշռված </w:t>
      </w:r>
      <w:r w:rsidR="003D7E4C" w:rsidRPr="00E57C0E">
        <w:rPr>
          <w:rFonts w:ascii="GHEA Grapalat" w:eastAsia="Calibri" w:hAnsi="GHEA Grapalat" w:cs="Sylfaen"/>
          <w:sz w:val="22"/>
          <w:szCs w:val="22"/>
        </w:rPr>
        <w:t>եկամտաբերություններն</w:t>
      </w:r>
      <w:r w:rsidRPr="00E57C0E">
        <w:rPr>
          <w:rFonts w:ascii="GHEA Grapalat" w:eastAsia="Calibri" w:hAnsi="GHEA Grapalat" w:cs="Sylfaen"/>
          <w:sz w:val="22"/>
          <w:szCs w:val="22"/>
        </w:rPr>
        <w:t xml:space="preserve"> աճել են</w:t>
      </w:r>
      <w:r w:rsidR="003D7E4C" w:rsidRPr="00E57C0E">
        <w:rPr>
          <w:rFonts w:ascii="GHEA Grapalat" w:eastAsia="Calibri" w:hAnsi="GHEA Grapalat" w:cs="Sylfaen"/>
          <w:sz w:val="22"/>
          <w:szCs w:val="22"/>
        </w:rPr>
        <w:t>՝</w:t>
      </w:r>
      <w:r w:rsidRPr="00E57C0E">
        <w:rPr>
          <w:rFonts w:ascii="GHEA Grapalat" w:eastAsia="Calibri" w:hAnsi="GHEA Grapalat" w:cs="Sylfaen"/>
          <w:sz w:val="22"/>
          <w:szCs w:val="22"/>
        </w:rPr>
        <w:t xml:space="preserve"> պայմանավորված նույն ժամանակահատվածում ԿԲ կողմից քաղաքականության տոկոսադրույքի բարձրացմամբ, մինչդեռ նկատելի </w:t>
      </w:r>
      <w:r w:rsidR="00336DC1" w:rsidRPr="00E57C0E">
        <w:rPr>
          <w:rFonts w:ascii="GHEA Grapalat" w:eastAsia="Calibri" w:hAnsi="GHEA Grapalat" w:cs="Sylfaen"/>
          <w:sz w:val="22"/>
          <w:szCs w:val="22"/>
        </w:rPr>
        <w:t>են</w:t>
      </w:r>
      <w:r w:rsidRPr="00E57C0E">
        <w:rPr>
          <w:rFonts w:ascii="GHEA Grapalat" w:eastAsia="Calibri" w:hAnsi="GHEA Grapalat" w:cs="Sylfaen"/>
          <w:sz w:val="22"/>
          <w:szCs w:val="22"/>
        </w:rPr>
        <w:t xml:space="preserve"> տարեսկզբի համեմատ որոշակի նվազման միտումներ: Եթե 2022 թվականի</w:t>
      </w:r>
      <w:r w:rsidR="00336DC1" w:rsidRPr="00E57C0E">
        <w:rPr>
          <w:rFonts w:ascii="GHEA Grapalat" w:eastAsia="Calibri" w:hAnsi="GHEA Grapalat" w:cs="Sylfaen"/>
          <w:sz w:val="22"/>
          <w:szCs w:val="22"/>
        </w:rPr>
        <w:t xml:space="preserve"> առաջ</w:t>
      </w:r>
      <w:r w:rsidRPr="00E57C0E">
        <w:rPr>
          <w:rFonts w:ascii="GHEA Grapalat" w:eastAsia="Calibri" w:hAnsi="GHEA Grapalat" w:cs="Sylfaen"/>
          <w:sz w:val="22"/>
          <w:szCs w:val="22"/>
        </w:rPr>
        <w:t xml:space="preserve">ին կիսամյակում տեղաբաշխված պետական պարտատոմսերի միջին կշռված եկամտաբերությունը կազմել էր 10.71%, ապա 2023 թվականի նույն ժամանակահատվածում այն կազմել է 11.65% կամ շուրջ 0.9 տոկոսային կետով ավելի: Միաժամանակ, պայմանավորված դրամավարկային քաղաքականության կոշտացման ընթացքի կանգով, հետագա նվազման սպասումներով, ՊՊ շուկայում հարաբերական պահանջարկի բարձրացմամբ (որն օժանդակություն է գտնում բանկային համակարգում լրացուցիչ իրացվելիության կուտակմամբ և բարձր իրացվելի ակտիվների նկատմամբ պահանջարկի աճով) և հունիսին քաղաքականության տոկոսադրույքի նվազեցմամբ, կիսամյակի ընթացքում նկատելի </w:t>
      </w:r>
      <w:r w:rsidR="00336DC1" w:rsidRPr="00E57C0E">
        <w:rPr>
          <w:rFonts w:ascii="GHEA Grapalat" w:eastAsia="Calibri" w:hAnsi="GHEA Grapalat" w:cs="Sylfaen"/>
          <w:sz w:val="22"/>
          <w:szCs w:val="22"/>
        </w:rPr>
        <w:t>են</w:t>
      </w:r>
      <w:r w:rsidRPr="00E57C0E">
        <w:rPr>
          <w:rFonts w:ascii="GHEA Grapalat" w:eastAsia="Calibri" w:hAnsi="GHEA Grapalat" w:cs="Sylfaen"/>
          <w:sz w:val="22"/>
          <w:szCs w:val="22"/>
        </w:rPr>
        <w:t xml:space="preserve"> եղել դեպի ներքև տոկոսադրույքների ճշգրտման միտումներ։</w:t>
      </w:r>
      <w:r w:rsidR="008B7237" w:rsidRPr="00E57C0E">
        <w:rPr>
          <w:rFonts w:ascii="GHEA Grapalat" w:eastAsia="Calibri" w:hAnsi="GHEA Grapalat" w:cs="Sylfaen"/>
          <w:sz w:val="22"/>
          <w:szCs w:val="22"/>
        </w:rPr>
        <w:t xml:space="preserve"> </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 xml:space="preserve">2023 թվականի </w:t>
      </w:r>
      <w:r w:rsidR="00336DC1" w:rsidRPr="00E57C0E">
        <w:rPr>
          <w:rFonts w:ascii="GHEA Grapalat" w:eastAsia="Calibri" w:hAnsi="GHEA Grapalat" w:cs="Sylfaen"/>
          <w:sz w:val="22"/>
          <w:szCs w:val="22"/>
        </w:rPr>
        <w:t>առաջ</w:t>
      </w:r>
      <w:r w:rsidRPr="00E57C0E">
        <w:rPr>
          <w:rFonts w:ascii="GHEA Grapalat" w:eastAsia="Calibri" w:hAnsi="GHEA Grapalat" w:cs="Sylfaen"/>
          <w:sz w:val="22"/>
          <w:szCs w:val="22"/>
        </w:rPr>
        <w:t>ին կիսամյակում տեղաբաշխված պետական պարտատոմսերի ծավալը կազմել է 319.3 մլրդ դրամ՝ 2022 թվականի նույն ժամանակահատվածի 245.1 մլրդ դրամի դիմաց, իսկ տեղաբաշխման միջին կշռված ժամկետայնությունը` 2021 օր՝ 2022 թվականի նույն ժամանակահատվածի 2213 օր ցուցանիշի համեմատ:</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2023 թ</w:t>
      </w:r>
      <w:r w:rsidR="00336DC1" w:rsidRPr="00E57C0E">
        <w:rPr>
          <w:rFonts w:ascii="GHEA Grapalat" w:eastAsia="Calibri" w:hAnsi="GHEA Grapalat" w:cs="Sylfaen"/>
          <w:sz w:val="22"/>
          <w:szCs w:val="22"/>
        </w:rPr>
        <w:t>վականի</w:t>
      </w:r>
      <w:r w:rsidRPr="00E57C0E">
        <w:rPr>
          <w:rFonts w:ascii="GHEA Grapalat" w:eastAsia="Calibri" w:hAnsi="GHEA Grapalat" w:cs="Sylfaen"/>
          <w:sz w:val="22"/>
          <w:szCs w:val="22"/>
        </w:rPr>
        <w:t xml:space="preserve"> </w:t>
      </w:r>
      <w:r w:rsidR="00336DC1" w:rsidRPr="00E57C0E">
        <w:rPr>
          <w:rFonts w:ascii="GHEA Grapalat" w:eastAsia="Calibri" w:hAnsi="GHEA Grapalat" w:cs="Sylfaen"/>
          <w:sz w:val="22"/>
          <w:szCs w:val="22"/>
        </w:rPr>
        <w:t>առաջ</w:t>
      </w:r>
      <w:r w:rsidRPr="00E57C0E">
        <w:rPr>
          <w:rFonts w:ascii="GHEA Grapalat" w:eastAsia="Calibri" w:hAnsi="GHEA Grapalat" w:cs="Sylfaen"/>
          <w:sz w:val="22"/>
          <w:szCs w:val="22"/>
        </w:rPr>
        <w:t>ին կիսամյակում պետական (շուկայական) պարտատոմսերի նկատմամբ պահանջարկը գերազանցել է տեղաբաշխման ցուցանիշը 2.1 անգամ (2022 թվականի նույն ժամանակահատվածում՝ 1.96 անգամ), իսկ տեղաբաշխման ենթակա ծավալ/տեղաբաշխված ծավալ միջին հարաբերակցությունը կազմել է 1.1 (2022 թվականի նույն ժամանակահատվածում` 1.15):</w:t>
      </w:r>
    </w:p>
    <w:p w:rsidR="00695CFA" w:rsidRPr="00E57C0E" w:rsidRDefault="00695CFA" w:rsidP="00695CFA">
      <w:pPr>
        <w:spacing w:line="360" w:lineRule="auto"/>
        <w:ind w:firstLine="567"/>
        <w:jc w:val="both"/>
        <w:rPr>
          <w:rFonts w:ascii="GHEA Grapalat" w:eastAsia="Calibri" w:hAnsi="GHEA Grapalat" w:cs="Sylfaen"/>
          <w:sz w:val="22"/>
          <w:szCs w:val="22"/>
        </w:rPr>
      </w:pPr>
    </w:p>
    <w:p w:rsidR="00695CFA" w:rsidRPr="00E57C0E" w:rsidRDefault="00695CFA" w:rsidP="00352E88">
      <w:pPr>
        <w:keepNext/>
        <w:keepLines/>
        <w:numPr>
          <w:ilvl w:val="0"/>
          <w:numId w:val="25"/>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lastRenderedPageBreak/>
        <w:t>ՀՀ</w:t>
      </w:r>
      <w:r w:rsidR="008B7237" w:rsidRPr="00E57C0E">
        <w:rPr>
          <w:rFonts w:ascii="GHEA Grapalat" w:hAnsi="GHEA Grapalat" w:cs="Sylfaen"/>
          <w:sz w:val="22"/>
          <w:szCs w:val="22"/>
        </w:rPr>
        <w:t xml:space="preserve"> </w:t>
      </w:r>
      <w:r w:rsidRPr="00E57C0E">
        <w:rPr>
          <w:rFonts w:ascii="GHEA Grapalat" w:hAnsi="GHEA Grapalat" w:cs="Sylfaen"/>
          <w:sz w:val="22"/>
          <w:szCs w:val="22"/>
        </w:rPr>
        <w:t>պետական պարտատոմսերի առաջնայ</w:t>
      </w:r>
      <w:r w:rsidR="000B5C7B" w:rsidRPr="00E57C0E">
        <w:rPr>
          <w:rFonts w:ascii="GHEA Grapalat" w:hAnsi="GHEA Grapalat" w:cs="Sylfaen"/>
          <w:sz w:val="22"/>
          <w:szCs w:val="22"/>
        </w:rPr>
        <w:t>ին շուկայի զարգացումները 2018</w:t>
      </w:r>
      <w:proofErr w:type="gramStart"/>
      <w:r w:rsidR="000B5C7B" w:rsidRPr="00E57C0E">
        <w:rPr>
          <w:rFonts w:ascii="GHEA Grapalat" w:hAnsi="GHEA Grapalat" w:cs="Sylfaen"/>
          <w:sz w:val="22"/>
          <w:szCs w:val="22"/>
        </w:rPr>
        <w:t>թ.</w:t>
      </w:r>
      <w:r w:rsidR="000B5C7B" w:rsidRPr="00E57C0E">
        <w:rPr>
          <w:rFonts w:ascii="GHEA Grapalat" w:hAnsi="GHEA Grapalat" w:cs="Sylfaen"/>
          <w:sz w:val="22"/>
          <w:szCs w:val="22"/>
        </w:rPr>
        <w:noBreakHyphen/>
      </w:r>
      <w:proofErr w:type="gramEnd"/>
      <w:r w:rsidRPr="00E57C0E">
        <w:rPr>
          <w:rFonts w:ascii="GHEA Grapalat" w:hAnsi="GHEA Grapalat" w:cs="Sylfaen"/>
          <w:sz w:val="22"/>
          <w:szCs w:val="22"/>
        </w:rPr>
        <w:t>ից 2023թ</w:t>
      </w:r>
      <w:r w:rsidRPr="00E57C0E">
        <w:rPr>
          <w:rFonts w:ascii="Cambria Math" w:hAnsi="Cambria Math" w:cs="Cambria Math"/>
          <w:sz w:val="22"/>
          <w:szCs w:val="22"/>
        </w:rPr>
        <w:t>․</w:t>
      </w:r>
      <w:r w:rsidRPr="00E57C0E">
        <w:rPr>
          <w:rFonts w:ascii="GHEA Grapalat" w:hAnsi="GHEA Grapalat" w:cs="Sylfaen"/>
          <w:sz w:val="22"/>
          <w:szCs w:val="22"/>
        </w:rPr>
        <w:t xml:space="preserve"> հունիս </w:t>
      </w:r>
    </w:p>
    <w:p w:rsidR="00695CFA" w:rsidRPr="00E57C0E" w:rsidRDefault="00695CFA" w:rsidP="00695CFA">
      <w:pPr>
        <w:spacing w:line="360" w:lineRule="auto"/>
        <w:jc w:val="both"/>
        <w:rPr>
          <w:rFonts w:ascii="GHEA Grapalat" w:eastAsia="Calibri" w:hAnsi="GHEA Grapalat" w:cs="Sylfaen"/>
          <w:sz w:val="22"/>
          <w:szCs w:val="22"/>
        </w:rPr>
      </w:pPr>
      <w:r w:rsidRPr="00E57C0E">
        <w:rPr>
          <w:rFonts w:ascii="GHEA Grapalat" w:eastAsia="Calibri" w:hAnsi="GHEA Grapalat" w:cs="Sylfaen"/>
          <w:noProof/>
          <w:sz w:val="22"/>
          <w:szCs w:val="22"/>
        </w:rPr>
        <w:drawing>
          <wp:inline distT="0" distB="0" distL="0" distR="0" wp14:anchorId="12317E5E" wp14:editId="0FC9A941">
            <wp:extent cx="3190875" cy="3200400"/>
            <wp:effectExtent l="0" t="0" r="9525"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E57C0E">
        <w:rPr>
          <w:rFonts w:ascii="GHEA Grapalat" w:eastAsia="Calibri" w:hAnsi="GHEA Grapalat" w:cs="Sylfaen"/>
          <w:noProof/>
          <w:sz w:val="22"/>
          <w:szCs w:val="22"/>
        </w:rPr>
        <w:drawing>
          <wp:inline distT="0" distB="0" distL="0" distR="0" wp14:anchorId="466ED291" wp14:editId="2490E81C">
            <wp:extent cx="3190875" cy="3200400"/>
            <wp:effectExtent l="0" t="0" r="952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95CFA" w:rsidRPr="00E57C0E" w:rsidRDefault="00695CFA" w:rsidP="00695CFA">
      <w:pPr>
        <w:spacing w:after="120" w:line="360" w:lineRule="auto"/>
        <w:jc w:val="both"/>
        <w:rPr>
          <w:rFonts w:ascii="GHEA Grapalat" w:eastAsia="Calibri" w:hAnsi="GHEA Grapalat" w:cs="Sylfaen"/>
          <w:sz w:val="22"/>
          <w:szCs w:val="22"/>
        </w:rPr>
      </w:pPr>
      <w:r w:rsidRPr="00E57C0E">
        <w:rPr>
          <w:rFonts w:ascii="GHEA Grapalat" w:hAnsi="GHEA Grapalat"/>
          <w:i/>
          <w:sz w:val="18"/>
          <w:szCs w:val="18"/>
        </w:rPr>
        <w:t>Աղբյուրը՝ ՀՀ ՖՆ</w:t>
      </w:r>
    </w:p>
    <w:p w:rsidR="00933C82" w:rsidRPr="00E57C0E" w:rsidRDefault="00933C82" w:rsidP="00695CFA">
      <w:pPr>
        <w:spacing w:line="360" w:lineRule="auto"/>
        <w:ind w:firstLine="567"/>
        <w:jc w:val="both"/>
        <w:rPr>
          <w:rFonts w:ascii="GHEA Grapalat" w:eastAsia="Calibri" w:hAnsi="GHEA Grapalat" w:cs="Sylfaen"/>
          <w:sz w:val="22"/>
          <w:szCs w:val="22"/>
        </w:rPr>
      </w:pP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hAnsi="GHEA Grapalat" w:cs="GHEA Grapalat"/>
          <w:b/>
          <w:i/>
          <w:sz w:val="22"/>
          <w:szCs w:val="22"/>
        </w:rPr>
        <w:t>ՀՀ եվրապարտատոմսերի երկրորդային շուկա:</w:t>
      </w:r>
      <w:r w:rsidRPr="00E57C0E">
        <w:rPr>
          <w:rFonts w:ascii="GHEA Grapalat" w:hAnsi="GHEA Grapalat" w:cs="GHEA Grapalat"/>
          <w:sz w:val="22"/>
          <w:szCs w:val="22"/>
        </w:rPr>
        <w:t xml:space="preserve"> </w:t>
      </w:r>
      <w:r w:rsidRPr="00E57C0E">
        <w:rPr>
          <w:rFonts w:ascii="GHEA Grapalat" w:eastAsia="Calibri" w:hAnsi="GHEA Grapalat" w:cs="Sylfaen"/>
          <w:sz w:val="22"/>
          <w:szCs w:val="22"/>
        </w:rPr>
        <w:t xml:space="preserve">ՀՀ եվրապարտատոմսերի երկրորդային շուկայում եկամտաբերությունները 2023 թվականի առաջին կիսամյակում նախորդ տարվա նույն կիսամյակի համեմատությամբ զգալիորեն բարձր մակարդակում են ձևավորվել՝ չնայած որ երկրի ռիսկի հավելավճարը զգալիորեն նվազել </w:t>
      </w:r>
      <w:r w:rsidR="000B5C7B" w:rsidRPr="00E57C0E">
        <w:rPr>
          <w:rFonts w:ascii="GHEA Grapalat" w:eastAsia="Calibri" w:hAnsi="GHEA Grapalat" w:cs="Sylfaen"/>
          <w:sz w:val="22"/>
          <w:szCs w:val="22"/>
        </w:rPr>
        <w:t>է</w:t>
      </w:r>
      <w:r w:rsidRPr="00E57C0E">
        <w:rPr>
          <w:rFonts w:ascii="GHEA Grapalat" w:eastAsia="Calibri" w:hAnsi="GHEA Grapalat" w:cs="Sylfaen"/>
          <w:sz w:val="22"/>
          <w:szCs w:val="22"/>
        </w:rPr>
        <w:t xml:space="preserve"> դեպի մինչ ռուս-ուկրաինական պատերազմի մակարդակը։ Միջազգային կապիտալի շուկայում 2015 թվականին 7.5% եկամտաբերությամբ թողարկված պետական արտարժութային պարտատոմսերի եկամտաբերությունը 2023 թվականի</w:t>
      </w:r>
      <w:r w:rsidR="000B5C7B" w:rsidRPr="00E57C0E">
        <w:rPr>
          <w:rFonts w:ascii="GHEA Grapalat" w:eastAsia="Calibri" w:hAnsi="GHEA Grapalat" w:cs="Sylfaen"/>
          <w:sz w:val="22"/>
          <w:szCs w:val="22"/>
        </w:rPr>
        <w:t xml:space="preserve"> առաջ</w:t>
      </w:r>
      <w:r w:rsidRPr="00E57C0E">
        <w:rPr>
          <w:rFonts w:ascii="GHEA Grapalat" w:eastAsia="Calibri" w:hAnsi="GHEA Grapalat" w:cs="Sylfaen"/>
          <w:sz w:val="22"/>
          <w:szCs w:val="22"/>
        </w:rPr>
        <w:t xml:space="preserve">ին կիսամյակում միջինում կազմել է 6.36%՝ 2022 թվականի նույն ժամանակահատվածում արձանագրված 6.32%-ի դիմաց, 2019 թվականին 4.2% եկամտաբերությամբ թողարկված պարտատոմսերի եկամտաբերությունը միջինում կազմել է 7.3%` 2022 թվականի </w:t>
      </w:r>
      <w:r w:rsidR="000B5C7B" w:rsidRPr="00E57C0E">
        <w:rPr>
          <w:rFonts w:ascii="GHEA Grapalat" w:eastAsia="Calibri" w:hAnsi="GHEA Grapalat" w:cs="Sylfaen"/>
          <w:sz w:val="22"/>
          <w:szCs w:val="22"/>
        </w:rPr>
        <w:t>առաջ</w:t>
      </w:r>
      <w:r w:rsidRPr="00E57C0E">
        <w:rPr>
          <w:rFonts w:ascii="GHEA Grapalat" w:eastAsia="Calibri" w:hAnsi="GHEA Grapalat" w:cs="Sylfaen"/>
          <w:sz w:val="22"/>
          <w:szCs w:val="22"/>
        </w:rPr>
        <w:t>ին կիսամյակում գրանցված 6.5%-ի դիմաց, իսկ 2021 թվականի փետրվարին 3.9% եկամտաբերությամբ թողարկված պարտատոմսերի եկամտաբերությունը միջինում կազմել է 7.4%` նախորդ տարվա նույն ժամանակահատվածի 6.8%-ի համեմատությամբ։</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Պետք է նշել, որ զգալիորեն բարձրացել են նաև տոկոսադրույքները զարգացած երկրներում՝ պայմանավորված այդ երկրների կենտրոնական բանկերի կողմից իրականացվող դրամավարկային քաղաքականության կոշտացմա</w:t>
      </w:r>
      <w:r w:rsidR="000B5C7B" w:rsidRPr="00E57C0E">
        <w:rPr>
          <w:rFonts w:ascii="GHEA Grapalat" w:eastAsia="Calibri" w:hAnsi="GHEA Grapalat" w:cs="Sylfaen"/>
          <w:sz w:val="22"/>
          <w:szCs w:val="22"/>
        </w:rPr>
        <w:t>մբ</w:t>
      </w:r>
      <w:r w:rsidRPr="00E57C0E">
        <w:rPr>
          <w:rFonts w:ascii="GHEA Grapalat" w:eastAsia="Calibri" w:hAnsi="GHEA Grapalat" w:cs="Sylfaen"/>
          <w:sz w:val="22"/>
          <w:szCs w:val="22"/>
        </w:rPr>
        <w:t xml:space="preserve">։ Այսպես, ԱՄՆ 10 տարի ժամկետայնությամբ պետական պարտատոմսերի եկամտաբերությունը միջինում կազմել է 3.6%` նախորդ տարվա նույն ժամանակահատվածի 2.5%-ի համեմատությամբ։ Զարգացած երկրներում (ԱՄՆ-ում, Մեծ </w:t>
      </w:r>
      <w:r w:rsidRPr="00E57C0E">
        <w:rPr>
          <w:rFonts w:ascii="GHEA Grapalat" w:eastAsia="Calibri" w:hAnsi="GHEA Grapalat" w:cs="Sylfaen"/>
          <w:sz w:val="22"/>
          <w:szCs w:val="22"/>
        </w:rPr>
        <w:lastRenderedPageBreak/>
        <w:t>Բրիտանիայում, Եվրամիությունում) տոկոսադրույքների բարձրացումը, ինչպես նաև ռուս-ուկրաինական համակամարտության առաջացրած ռիսկերը հանգեցրել են զարգացող երկրներից կապիտալի որոշակի արտահոսքի, ինչի արդյունքում 2021</w:t>
      </w:r>
      <w:r w:rsidR="00081BD9" w:rsidRPr="00E57C0E">
        <w:rPr>
          <w:rFonts w:ascii="GHEA Grapalat" w:eastAsia="Calibri" w:hAnsi="GHEA Grapalat" w:cs="Sylfaen"/>
          <w:sz w:val="22"/>
          <w:szCs w:val="22"/>
        </w:rPr>
        <w:t xml:space="preserve"> </w:t>
      </w:r>
      <w:r w:rsidRPr="00E57C0E">
        <w:rPr>
          <w:rFonts w:ascii="GHEA Grapalat" w:eastAsia="Calibri" w:hAnsi="GHEA Grapalat" w:cs="Sylfaen"/>
          <w:sz w:val="22"/>
          <w:szCs w:val="22"/>
        </w:rPr>
        <w:t>թ</w:t>
      </w:r>
      <w:r w:rsidR="00081BD9" w:rsidRPr="00E57C0E">
        <w:rPr>
          <w:rFonts w:ascii="GHEA Grapalat" w:eastAsia="Calibri" w:hAnsi="GHEA Grapalat" w:cs="Sylfaen"/>
          <w:sz w:val="22"/>
          <w:szCs w:val="22"/>
        </w:rPr>
        <w:t>վական</w:t>
      </w:r>
      <w:r w:rsidRPr="00E57C0E">
        <w:rPr>
          <w:rFonts w:ascii="GHEA Grapalat" w:eastAsia="Calibri" w:hAnsi="GHEA Grapalat" w:cs="Sylfaen"/>
          <w:sz w:val="22"/>
          <w:szCs w:val="22"/>
        </w:rPr>
        <w:t>ից սկսած բարձրացել են նաև զարգացող երկրների արտարժութային պարտատոմսերի ռիսկի հավելավճարները:</w:t>
      </w:r>
    </w:p>
    <w:p w:rsidR="00081BD9" w:rsidRPr="00E57C0E" w:rsidRDefault="00081BD9" w:rsidP="00695CFA">
      <w:pPr>
        <w:spacing w:line="360" w:lineRule="auto"/>
        <w:ind w:firstLine="567"/>
        <w:jc w:val="both"/>
        <w:rPr>
          <w:rFonts w:ascii="GHEA Grapalat" w:eastAsia="Calibri" w:hAnsi="GHEA Grapalat" w:cs="Sylfaen"/>
          <w:sz w:val="22"/>
          <w:szCs w:val="22"/>
        </w:rPr>
      </w:pPr>
    </w:p>
    <w:p w:rsidR="00695CFA" w:rsidRPr="00E57C0E" w:rsidRDefault="00695CFA" w:rsidP="00352E88">
      <w:pPr>
        <w:keepNext/>
        <w:keepLines/>
        <w:numPr>
          <w:ilvl w:val="0"/>
          <w:numId w:val="25"/>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ՀՀ եվրոբոնդերի եկամտաբերությունները և ռիսկի հավելավճարը 2018</w:t>
      </w:r>
      <w:proofErr w:type="gramStart"/>
      <w:r w:rsidRPr="00E57C0E">
        <w:rPr>
          <w:rFonts w:ascii="GHEA Grapalat" w:hAnsi="GHEA Grapalat" w:cs="Sylfaen"/>
          <w:sz w:val="22"/>
          <w:szCs w:val="22"/>
        </w:rPr>
        <w:t>թ.-</w:t>
      </w:r>
      <w:proofErr w:type="gramEnd"/>
      <w:r w:rsidRPr="00E57C0E">
        <w:rPr>
          <w:rFonts w:ascii="GHEA Grapalat" w:hAnsi="GHEA Grapalat" w:cs="Sylfaen"/>
          <w:sz w:val="22"/>
          <w:szCs w:val="22"/>
        </w:rPr>
        <w:t>ից 2023թ</w:t>
      </w:r>
      <w:r w:rsidRPr="00E57C0E">
        <w:rPr>
          <w:rFonts w:ascii="Cambria Math" w:hAnsi="Cambria Math" w:cs="Cambria Math"/>
          <w:sz w:val="22"/>
          <w:szCs w:val="22"/>
        </w:rPr>
        <w:t>․</w:t>
      </w:r>
      <w:r w:rsidRPr="00E57C0E">
        <w:rPr>
          <w:rFonts w:ascii="GHEA Grapalat" w:hAnsi="GHEA Grapalat" w:cs="Sylfaen"/>
          <w:sz w:val="22"/>
          <w:szCs w:val="22"/>
        </w:rPr>
        <w:t xml:space="preserve"> հունիս</w:t>
      </w:r>
    </w:p>
    <w:p w:rsidR="00695CFA" w:rsidRPr="00E57C0E" w:rsidRDefault="00695CFA" w:rsidP="00695CFA">
      <w:pPr>
        <w:spacing w:line="276" w:lineRule="auto"/>
        <w:jc w:val="both"/>
        <w:rPr>
          <w:rFonts w:ascii="GHEA Grapalat" w:hAnsi="GHEA Grapalat" w:cs="GHEA Grapalat"/>
          <w:sz w:val="22"/>
          <w:szCs w:val="22"/>
        </w:rPr>
      </w:pPr>
      <w:r w:rsidRPr="00E57C0E">
        <w:rPr>
          <w:rFonts w:ascii="GHEA Grapalat" w:hAnsi="GHEA Grapalat" w:cs="GHEA Grapalat"/>
          <w:noProof/>
          <w:sz w:val="22"/>
          <w:szCs w:val="22"/>
        </w:rPr>
        <w:drawing>
          <wp:inline distT="0" distB="0" distL="0" distR="0" wp14:anchorId="66252F12" wp14:editId="3B8BA885">
            <wp:extent cx="3048000" cy="2880000"/>
            <wp:effectExtent l="0" t="0" r="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E57C0E">
        <w:rPr>
          <w:rFonts w:ascii="GHEA Grapalat" w:hAnsi="GHEA Grapalat" w:cs="GHEA Grapalat"/>
          <w:noProof/>
          <w:sz w:val="22"/>
          <w:szCs w:val="22"/>
        </w:rPr>
        <w:drawing>
          <wp:inline distT="0" distB="0" distL="0" distR="0" wp14:anchorId="77CCCE21" wp14:editId="070CC3B3">
            <wp:extent cx="3162300" cy="2880000"/>
            <wp:effectExtent l="0" t="0" r="0"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95CFA" w:rsidRPr="00E57C0E" w:rsidRDefault="00695CFA" w:rsidP="00695CFA">
      <w:pPr>
        <w:spacing w:after="120"/>
        <w:jc w:val="both"/>
        <w:rPr>
          <w:rFonts w:ascii="GHEA Grapalat" w:hAnsi="GHEA Grapalat" w:cs="GHEA Grapalat"/>
          <w:i/>
          <w:iCs/>
          <w:sz w:val="22"/>
          <w:szCs w:val="22"/>
        </w:rPr>
      </w:pPr>
      <w:r w:rsidRPr="00E57C0E">
        <w:rPr>
          <w:rFonts w:ascii="GHEA Grapalat" w:hAnsi="GHEA Grapalat"/>
          <w:i/>
          <w:iCs/>
          <w:sz w:val="18"/>
          <w:szCs w:val="18"/>
        </w:rPr>
        <w:t>Աղբյուրը՝ ՀՀ ՖՆ և Բլումբերգ։</w:t>
      </w:r>
    </w:p>
    <w:p w:rsidR="00081BD9" w:rsidRPr="00E57C0E" w:rsidRDefault="00081BD9" w:rsidP="00695CFA">
      <w:pPr>
        <w:spacing w:line="360" w:lineRule="auto"/>
        <w:ind w:firstLine="567"/>
        <w:jc w:val="both"/>
        <w:rPr>
          <w:rFonts w:ascii="GHEA Grapalat" w:eastAsia="Calibri" w:hAnsi="GHEA Grapalat" w:cs="Sylfaen"/>
          <w:sz w:val="22"/>
          <w:szCs w:val="22"/>
        </w:rPr>
      </w:pP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eastAsia="Calibri" w:hAnsi="GHEA Grapalat" w:cs="Sylfaen"/>
          <w:sz w:val="22"/>
          <w:szCs w:val="22"/>
        </w:rPr>
        <w:t>ՀՀ երկրի ռիսկի հավելավճարը նախորդ տարվա առաջին կիսամյակի համեմատ էականորեն նվազել է, ինչը կարող է պայմանավորվել Հայաստանի տնտեսական միջավայրի բարելավմամբ և տնտեսական շոկի հաղթահարմանն ուղղված խելամիտ մակրոտնտեսական քաղաքականություն</w:t>
      </w:r>
      <w:r w:rsidR="00081BD9" w:rsidRPr="00E57C0E">
        <w:rPr>
          <w:rFonts w:ascii="GHEA Grapalat" w:eastAsia="Calibri" w:hAnsi="GHEA Grapalat" w:cs="Sylfaen"/>
          <w:sz w:val="22"/>
          <w:szCs w:val="22"/>
        </w:rPr>
        <w:t>-</w:t>
      </w:r>
      <w:r w:rsidRPr="00E57C0E">
        <w:rPr>
          <w:rFonts w:ascii="GHEA Grapalat" w:eastAsia="Calibri" w:hAnsi="GHEA Grapalat" w:cs="Sylfaen"/>
          <w:sz w:val="22"/>
          <w:szCs w:val="22"/>
        </w:rPr>
        <w:t>ներով ու դրանց արդյունքներով, վերջիններով ամրապնդվող՝ ՀՀ սուվերեն վարկանիշի դրական զարգացումներով, ՀՀ բանկային համակարգի իրացվելիության դիրքի բարելավման արդյունքում ՀՀ եվրոբոնդերի նկատմամբ պահանջարկի աճով, ինչպես նաև զարգացող երկրների ռիսկի հավելաճարի` 2022</w:t>
      </w:r>
      <w:r w:rsidR="00081BD9" w:rsidRPr="00E57C0E">
        <w:rPr>
          <w:rFonts w:ascii="GHEA Grapalat" w:eastAsia="Calibri" w:hAnsi="GHEA Grapalat" w:cs="Sylfaen"/>
          <w:sz w:val="22"/>
          <w:szCs w:val="22"/>
        </w:rPr>
        <w:t xml:space="preserve"> </w:t>
      </w:r>
      <w:r w:rsidRPr="00E57C0E">
        <w:rPr>
          <w:rFonts w:ascii="GHEA Grapalat" w:eastAsia="Calibri" w:hAnsi="GHEA Grapalat" w:cs="Sylfaen"/>
          <w:sz w:val="22"/>
          <w:szCs w:val="22"/>
        </w:rPr>
        <w:t>թ</w:t>
      </w:r>
      <w:r w:rsidR="00081BD9" w:rsidRPr="00E57C0E">
        <w:rPr>
          <w:rFonts w:ascii="GHEA Grapalat" w:eastAsia="Calibri" w:hAnsi="GHEA Grapalat" w:cs="Sylfaen"/>
          <w:sz w:val="22"/>
          <w:szCs w:val="22"/>
        </w:rPr>
        <w:t>վական</w:t>
      </w:r>
      <w:r w:rsidRPr="00E57C0E">
        <w:rPr>
          <w:rFonts w:ascii="GHEA Grapalat" w:eastAsia="Calibri" w:hAnsi="GHEA Grapalat" w:cs="Sylfaen"/>
          <w:sz w:val="22"/>
          <w:szCs w:val="22"/>
        </w:rPr>
        <w:t xml:space="preserve">ի աճից հետո դեպի ներքև որոշակի ճշգրտմամբ։ Այսպես, 2025 թվականին մարվող եվրապարտատոմսերի ռիսկի հավելավճարը 2023 թվականի առաջին կիսամյակում կազմել է 203 բազիսային կետ՝ նախորդ տարվա նույն ժամանաահատվածի 401 տոկոսային կետ ցուցանիշի դիմաց, 2029 թվականին մարվող պարտատոմսերինը՝ 356 բազիսային կետ՝ նախորդ տարվա նույն ժամանակահատվածի 409 բազիսային կետ ցուցանիշի դիմաց, իսկ 2031 թվականին մարվող պարտատոմսերինը՝ 367 բազիսային կետ՝ նախորդ տարվա նույն ժամանակահատվածի 427 բազիսային կետ ցուցանիշի դիմաց։ </w:t>
      </w:r>
    </w:p>
    <w:p w:rsidR="00695CFA" w:rsidRPr="00E57C0E" w:rsidRDefault="00695CFA" w:rsidP="00CB2150">
      <w:pPr>
        <w:spacing w:line="360" w:lineRule="auto"/>
        <w:ind w:firstLine="567"/>
        <w:jc w:val="both"/>
        <w:rPr>
          <w:rFonts w:ascii="GHEA Grapalat" w:eastAsia="Calibri" w:hAnsi="GHEA Grapalat" w:cs="Sylfaen"/>
          <w:sz w:val="22"/>
          <w:szCs w:val="22"/>
        </w:rPr>
      </w:pPr>
    </w:p>
    <w:p w:rsidR="00563135" w:rsidRPr="00E57C0E"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0" w:name="_Toc71283308"/>
      <w:bookmarkStart w:id="31" w:name="_Toc71311888"/>
      <w:bookmarkStart w:id="32" w:name="_Toc165293253"/>
      <w:r w:rsidRPr="00E57C0E">
        <w:rPr>
          <w:rFonts w:ascii="GHEA Grapalat" w:hAnsi="GHEA Grapalat"/>
          <w:i w:val="0"/>
          <w:noProof/>
          <w:sz w:val="22"/>
          <w:szCs w:val="22"/>
          <w:lang w:val="de-AT"/>
        </w:rPr>
        <w:lastRenderedPageBreak/>
        <w:t>ՀԱՐԿԱԲՅՈՒՋԵՏԱՅԻՆ ՔԱՂԱՔԱԿԱՆՈՒԹՅԱՆ ՀԻՄՆԱԿԱՆ ԶԱՐԳԱՑՈՒՄՆԵՐԸ</w:t>
      </w:r>
      <w:bookmarkEnd w:id="30"/>
      <w:bookmarkEnd w:id="31"/>
      <w:bookmarkEnd w:id="32"/>
      <w:r w:rsidRPr="00E57C0E">
        <w:rPr>
          <w:rFonts w:ascii="GHEA Grapalat" w:hAnsi="GHEA Grapalat"/>
          <w:i w:val="0"/>
          <w:noProof/>
          <w:sz w:val="22"/>
          <w:szCs w:val="22"/>
          <w:lang w:val="de-AT"/>
        </w:rPr>
        <w:t xml:space="preserve"> </w:t>
      </w:r>
    </w:p>
    <w:p w:rsidR="00695CFA" w:rsidRPr="00E57C0E" w:rsidRDefault="00695CFA" w:rsidP="00695CFA">
      <w:pPr>
        <w:spacing w:line="360" w:lineRule="auto"/>
        <w:ind w:firstLine="567"/>
        <w:jc w:val="both"/>
        <w:rPr>
          <w:rFonts w:ascii="GHEA Grapalat" w:eastAsia="Calibri" w:hAnsi="GHEA Grapalat" w:cs="Sylfaen"/>
          <w:sz w:val="22"/>
          <w:szCs w:val="22"/>
        </w:rPr>
      </w:pPr>
      <w:bookmarkStart w:id="33" w:name="_Toc100315622"/>
      <w:r w:rsidRPr="00E57C0E">
        <w:rPr>
          <w:rFonts w:ascii="GHEA Grapalat" w:eastAsia="Calibri" w:hAnsi="GHEA Grapalat" w:cs="Sylfaen"/>
          <w:sz w:val="22"/>
          <w:szCs w:val="22"/>
        </w:rPr>
        <w:t xml:space="preserve">2023 թվականի առաջին կիսամյակի բարձր տնտեսական աճի պայմաններում հարկաբյուջետային քաղաքականության ազդեցությունն ամբողջական պահանաջարկի վրա եղել է զսպող: Իր երկարաժամկետ միտումից բարձր տնտեսական աճի պայմաններում դրսևորվել է հարկային եկամուտների առաջանցիկ աճի տեմպ՝ պայմանավորելով թույլ զսպող ազդակը, իսկ բյուջեի ծախսերի աճն առավել չափավոր է եղել, ինչը հանգեցրել է ամբողջական պահանջարկի վրա վերջինիս չեզոք ազդեցության: </w:t>
      </w: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hAnsi="GHEA Grapalat" w:cs="GHEA Grapalat"/>
          <w:b/>
          <w:i/>
          <w:sz w:val="22"/>
          <w:szCs w:val="22"/>
        </w:rPr>
        <w:t>Պետական բյուջեի եկամուտները:</w:t>
      </w:r>
      <w:r w:rsidRPr="00E57C0E">
        <w:rPr>
          <w:rFonts w:ascii="GHEA Grapalat" w:hAnsi="GHEA Grapalat" w:cs="GHEA Grapalat"/>
          <w:sz w:val="22"/>
          <w:szCs w:val="22"/>
        </w:rPr>
        <w:t xml:space="preserve"> </w:t>
      </w:r>
      <w:r w:rsidRPr="00E57C0E">
        <w:rPr>
          <w:rFonts w:ascii="GHEA Grapalat" w:eastAsia="Calibri" w:hAnsi="GHEA Grapalat" w:cs="Sylfaen"/>
          <w:sz w:val="22"/>
          <w:szCs w:val="22"/>
        </w:rPr>
        <w:t xml:space="preserve">2023 թվականի առաջին կիսամյակում ՀՀ պետական բյուջեի </w:t>
      </w:r>
      <w:r w:rsidR="00933C82" w:rsidRPr="00E57C0E">
        <w:rPr>
          <w:rFonts w:ascii="GHEA Grapalat" w:eastAsia="Calibri" w:hAnsi="GHEA Grapalat" w:cs="Sylfaen"/>
          <w:sz w:val="22"/>
          <w:szCs w:val="22"/>
        </w:rPr>
        <w:t>եկամուտները</w:t>
      </w:r>
      <w:r w:rsidRPr="00E57C0E">
        <w:rPr>
          <w:rFonts w:ascii="GHEA Grapalat" w:eastAsia="Calibri" w:hAnsi="GHEA Grapalat" w:cs="Sylfaen"/>
          <w:sz w:val="22"/>
          <w:szCs w:val="22"/>
        </w:rPr>
        <w:t xml:space="preserve"> շարունակել են աճել բարձր տեմպերով՝ պայմանավորված հիմնականում բարձր տնտեսական աճի պայմաններում հարկման բազաների ընդլայնմամբ: 2023 թվականի հունվար-հունիս ամիսներին պետական բյուջեի ընդհանուր եկամուտները կազմել են 1160.7</w:t>
      </w:r>
      <w:r w:rsidRPr="00E57C0E">
        <w:rPr>
          <w:rFonts w:ascii="Calibri" w:eastAsia="Calibri" w:hAnsi="Calibri" w:cs="Calibri"/>
          <w:sz w:val="22"/>
          <w:szCs w:val="22"/>
        </w:rPr>
        <w:t> </w:t>
      </w:r>
      <w:r w:rsidRPr="00E57C0E">
        <w:rPr>
          <w:rFonts w:ascii="GHEA Grapalat" w:eastAsia="Calibri" w:hAnsi="GHEA Grapalat" w:cs="Sylfaen"/>
          <w:sz w:val="22"/>
          <w:szCs w:val="22"/>
        </w:rPr>
        <w:t>մլրդ դրամ՝ նախորդ տարվա նույն ժամանակահատվածի համեմատ աճելով 18.1%-ով, իսկ հարկերը և տուրքերը կազմել են 1103.5 մլրդ դրամ՝ նախորդ տարվա նույն ժամանակահատվածի համեմատ աճելով 18.9%-ով: Հարկային եկամուտների աճը հիմնականում պայմանավորված է հարկման բազաների (հիմնականում նախորդ տարվա շահույթների, ներմուծման, սպառման և աշխատավարձերի) աճով: Միևնույն ժամանակ, հարկային եկամուտների աճին հակազդել են եկամտային հարկի դրույքաչափի նվազումը և վերադարձի ծավալների աճը, ինչպես նաև մետաղական հանքանյութերի նկատմամբ արտահանման տուրքի գործողության դադարեցումը (2022</w:t>
      </w:r>
      <w:r w:rsidR="0014126A" w:rsidRPr="00E57C0E">
        <w:rPr>
          <w:rFonts w:ascii="GHEA Grapalat" w:eastAsia="Calibri" w:hAnsi="GHEA Grapalat" w:cs="Sylfaen"/>
          <w:sz w:val="22"/>
          <w:szCs w:val="22"/>
        </w:rPr>
        <w:t xml:space="preserve"> թվականի</w:t>
      </w:r>
      <w:r w:rsidRPr="00E57C0E">
        <w:rPr>
          <w:rFonts w:ascii="GHEA Grapalat" w:eastAsia="Calibri" w:hAnsi="GHEA Grapalat" w:cs="Sylfaen"/>
          <w:sz w:val="22"/>
          <w:szCs w:val="22"/>
        </w:rPr>
        <w:t xml:space="preserve"> սեպտեմբերի 1-ից):</w:t>
      </w:r>
    </w:p>
    <w:p w:rsidR="00695CFA" w:rsidRPr="00E57C0E" w:rsidRDefault="00695CFA" w:rsidP="00695CFA">
      <w:pPr>
        <w:spacing w:line="360" w:lineRule="auto"/>
        <w:ind w:firstLine="567"/>
        <w:jc w:val="both"/>
        <w:rPr>
          <w:rFonts w:ascii="GHEA Grapalat" w:eastAsia="Calibri" w:hAnsi="GHEA Grapalat" w:cs="Sylfaen"/>
          <w:sz w:val="22"/>
          <w:szCs w:val="22"/>
        </w:rPr>
      </w:pPr>
    </w:p>
    <w:p w:rsidR="00695CFA" w:rsidRPr="00E57C0E" w:rsidRDefault="00695CFA" w:rsidP="00352E88">
      <w:pPr>
        <w:keepNext/>
        <w:keepLines/>
        <w:numPr>
          <w:ilvl w:val="0"/>
          <w:numId w:val="25"/>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Պետական բյուջեի հարկային եկամուտները 2019-2023թթ. առաջին կիսամյակում</w:t>
      </w:r>
    </w:p>
    <w:p w:rsidR="00695CFA" w:rsidRPr="00E57C0E" w:rsidRDefault="00695CFA" w:rsidP="00695CFA">
      <w:pPr>
        <w:autoSpaceDE w:val="0"/>
        <w:autoSpaceDN w:val="0"/>
        <w:adjustRightInd w:val="0"/>
        <w:spacing w:after="120" w:line="276" w:lineRule="auto"/>
        <w:jc w:val="center"/>
        <w:rPr>
          <w:rFonts w:ascii="GHEA Grapalat" w:eastAsia="GHEA Grapalat" w:hAnsi="GHEA Grapalat" w:cs="GHEA Grapalat"/>
          <w:sz w:val="22"/>
          <w:szCs w:val="22"/>
        </w:rPr>
      </w:pPr>
      <w:r w:rsidRPr="00E57C0E">
        <w:rPr>
          <w:rFonts w:ascii="GHEA Grapalat" w:eastAsia="GHEA Grapalat" w:hAnsi="GHEA Grapalat" w:cs="GHEA Grapalat"/>
          <w:noProof/>
        </w:rPr>
        <w:drawing>
          <wp:inline distT="0" distB="0" distL="0" distR="0" wp14:anchorId="0FBC594F" wp14:editId="47BAF6C7">
            <wp:extent cx="5759450" cy="268605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95CFA" w:rsidRPr="00E57C0E" w:rsidRDefault="00695CFA" w:rsidP="00E71512">
      <w:pPr>
        <w:ind w:firstLine="567"/>
        <w:jc w:val="both"/>
        <w:rPr>
          <w:rFonts w:ascii="GHEA Grapalat" w:eastAsia="Calibri" w:hAnsi="GHEA Grapalat" w:cs="Sylfaen"/>
          <w:sz w:val="22"/>
          <w:szCs w:val="22"/>
        </w:rPr>
      </w:pPr>
    </w:p>
    <w:p w:rsidR="00695CFA" w:rsidRPr="00E57C0E" w:rsidRDefault="00695CFA" w:rsidP="00695CFA">
      <w:pPr>
        <w:spacing w:line="360" w:lineRule="auto"/>
        <w:ind w:firstLine="567"/>
        <w:jc w:val="both"/>
        <w:rPr>
          <w:rFonts w:ascii="GHEA Grapalat" w:eastAsia="Calibri" w:hAnsi="GHEA Grapalat" w:cs="Sylfaen"/>
          <w:sz w:val="22"/>
          <w:szCs w:val="22"/>
        </w:rPr>
      </w:pPr>
      <w:r w:rsidRPr="00E57C0E">
        <w:rPr>
          <w:rFonts w:ascii="GHEA Grapalat" w:hAnsi="GHEA Grapalat" w:cs="GHEA Grapalat"/>
          <w:b/>
          <w:i/>
          <w:sz w:val="22"/>
          <w:szCs w:val="22"/>
        </w:rPr>
        <w:lastRenderedPageBreak/>
        <w:t>Պետական բյուջեի ծախսերը:</w:t>
      </w:r>
      <w:r w:rsidRPr="00E57C0E">
        <w:rPr>
          <w:rFonts w:ascii="GHEA Grapalat" w:hAnsi="GHEA Grapalat" w:cs="GHEA Grapalat"/>
          <w:sz w:val="22"/>
          <w:szCs w:val="22"/>
        </w:rPr>
        <w:t xml:space="preserve"> </w:t>
      </w:r>
      <w:r w:rsidRPr="00E57C0E">
        <w:rPr>
          <w:rFonts w:ascii="GHEA Grapalat" w:eastAsia="Calibri" w:hAnsi="GHEA Grapalat" w:cs="Sylfaen"/>
          <w:sz w:val="22"/>
          <w:szCs w:val="22"/>
        </w:rPr>
        <w:t>Պետական բյուջեի ծախսերը 2023 թվականի առաջին կիսամյակում աճել են, սակայն ծրագրվածի համեմատ արձանագրվել է էական թերակատարում: 2023 թվականի առաջին կիսամյակում պետական բյուջեի ծախսերը կազմել են 1026.4 մլրդ դրամ՝ նախորդ տարվա նույն ժամանակահատվածի համեմատ աճելով 12.7%-ով: Նույն ժամանակահատվածում ընթացիկ ծախսերը կազմել են 911.9</w:t>
      </w:r>
      <w:r w:rsidRPr="00E57C0E">
        <w:rPr>
          <w:rFonts w:ascii="Calibri" w:eastAsia="Calibri" w:hAnsi="Calibri" w:cs="Calibri"/>
          <w:sz w:val="22"/>
          <w:szCs w:val="22"/>
        </w:rPr>
        <w:t> </w:t>
      </w:r>
      <w:r w:rsidRPr="00E57C0E">
        <w:rPr>
          <w:rFonts w:ascii="GHEA Grapalat" w:eastAsia="Calibri" w:hAnsi="GHEA Grapalat" w:cs="Sylfaen"/>
          <w:sz w:val="22"/>
          <w:szCs w:val="22"/>
        </w:rPr>
        <w:t>մլրդ դրամ` նախորդ տարվա նույն ժամանակահատվածի համեմատ աճելով 12.1%</w:t>
      </w:r>
      <w:r w:rsidRPr="00E57C0E">
        <w:rPr>
          <w:rFonts w:ascii="GHEA Grapalat" w:eastAsia="Calibri" w:hAnsi="GHEA Grapalat" w:cs="Sylfaen"/>
          <w:sz w:val="22"/>
          <w:szCs w:val="22"/>
        </w:rPr>
        <w:noBreakHyphen/>
        <w:t>ով:</w:t>
      </w:r>
    </w:p>
    <w:p w:rsidR="00E71512" w:rsidRPr="00E57C0E" w:rsidRDefault="00E71512" w:rsidP="00E71512">
      <w:pPr>
        <w:ind w:firstLine="567"/>
        <w:jc w:val="both"/>
        <w:rPr>
          <w:rFonts w:ascii="GHEA Grapalat" w:eastAsia="Calibri" w:hAnsi="GHEA Grapalat" w:cs="Sylfaen"/>
          <w:sz w:val="22"/>
          <w:szCs w:val="22"/>
        </w:rPr>
      </w:pPr>
    </w:p>
    <w:tbl>
      <w:tblPr>
        <w:tblStyle w:val="TableGrid2"/>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46"/>
      </w:tblGrid>
      <w:tr w:rsidR="00695CFA" w:rsidRPr="003E0B7E" w:rsidTr="00E71512">
        <w:tc>
          <w:tcPr>
            <w:tcW w:w="5046" w:type="dxa"/>
          </w:tcPr>
          <w:p w:rsidR="00695CFA" w:rsidRPr="00E57C0E" w:rsidRDefault="00695CFA" w:rsidP="00E71512">
            <w:pPr>
              <w:pStyle w:val="a"/>
              <w:rPr>
                <w:lang w:val="hy-AM"/>
              </w:rPr>
            </w:pPr>
            <w:r w:rsidRPr="00E57C0E">
              <w:rPr>
                <w:lang w:val="hy-AM"/>
              </w:rPr>
              <w:t>Պետական բյուջեի ընթացիկ ծախսերը 2019-2023թթ. առաջին կիսամյակում</w:t>
            </w:r>
          </w:p>
        </w:tc>
        <w:tc>
          <w:tcPr>
            <w:tcW w:w="5046" w:type="dxa"/>
          </w:tcPr>
          <w:p w:rsidR="00695CFA" w:rsidRPr="00E57C0E" w:rsidRDefault="00695CFA" w:rsidP="00E71512">
            <w:pPr>
              <w:pStyle w:val="a"/>
              <w:rPr>
                <w:lang w:val="hy-AM"/>
              </w:rPr>
            </w:pPr>
            <w:r w:rsidRPr="00E57C0E">
              <w:rPr>
                <w:lang w:val="hy-AM"/>
              </w:rPr>
              <w:t xml:space="preserve">Պետական բյուջեի ոչ ֆինանսական ակտիվների գծով ծախսերը 2019-2023թթ. </w:t>
            </w:r>
          </w:p>
        </w:tc>
      </w:tr>
      <w:tr w:rsidR="00695CFA" w:rsidRPr="00E57C0E" w:rsidTr="00E71512">
        <w:tc>
          <w:tcPr>
            <w:tcW w:w="5046" w:type="dxa"/>
          </w:tcPr>
          <w:p w:rsidR="00695CFA" w:rsidRPr="00E57C0E" w:rsidRDefault="00695CFA" w:rsidP="00AA791E">
            <w:pPr>
              <w:spacing w:before="60" w:line="360" w:lineRule="auto"/>
              <w:jc w:val="both"/>
              <w:rPr>
                <w:rFonts w:ascii="GHEA Grapalat" w:hAnsi="GHEA Grapalat" w:cs="GHEA Grapalat"/>
                <w:sz w:val="22"/>
                <w:szCs w:val="22"/>
                <w:lang w:val="hy-AM"/>
              </w:rPr>
            </w:pPr>
            <w:r w:rsidRPr="00E57C0E">
              <w:rPr>
                <w:rFonts w:ascii="GHEA Grapalat" w:eastAsia="GHEA Grapalat" w:hAnsi="GHEA Grapalat" w:cs="GHEA Grapalat"/>
                <w:b/>
                <w:noProof/>
              </w:rPr>
              <w:drawing>
                <wp:inline distT="0" distB="0" distL="0" distR="0" wp14:anchorId="6A9A0A48" wp14:editId="32894BC4">
                  <wp:extent cx="3060000" cy="2880000"/>
                  <wp:effectExtent l="0" t="0" r="7620" b="1587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046" w:type="dxa"/>
          </w:tcPr>
          <w:p w:rsidR="00695CFA" w:rsidRPr="00E57C0E" w:rsidRDefault="00695CFA" w:rsidP="00AA791E">
            <w:pPr>
              <w:spacing w:before="60" w:line="360" w:lineRule="auto"/>
              <w:jc w:val="both"/>
              <w:rPr>
                <w:rFonts w:ascii="GHEA Grapalat" w:hAnsi="GHEA Grapalat" w:cs="GHEA Grapalat"/>
                <w:sz w:val="22"/>
                <w:szCs w:val="22"/>
                <w:lang w:val="hy-AM"/>
              </w:rPr>
            </w:pPr>
            <w:r w:rsidRPr="00E57C0E">
              <w:rPr>
                <w:rFonts w:ascii="GHEA Grapalat" w:eastAsia="GHEA Grapalat" w:hAnsi="GHEA Grapalat" w:cs="GHEA Grapalat"/>
                <w:b/>
                <w:noProof/>
              </w:rPr>
              <w:drawing>
                <wp:inline distT="0" distB="0" distL="0" distR="0" wp14:anchorId="582C6F59" wp14:editId="3BB89EAC">
                  <wp:extent cx="3060000" cy="2880000"/>
                  <wp:effectExtent l="0" t="0" r="7620" b="1587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695CFA" w:rsidRPr="00E57C0E" w:rsidRDefault="00695CFA" w:rsidP="00695CFA">
      <w:pPr>
        <w:spacing w:line="360" w:lineRule="auto"/>
        <w:ind w:firstLine="567"/>
        <w:jc w:val="both"/>
        <w:rPr>
          <w:rFonts w:ascii="GHEA Grapalat" w:hAnsi="GHEA Grapalat" w:cs="GHEA Grapalat"/>
          <w:sz w:val="22"/>
          <w:szCs w:val="22"/>
        </w:rPr>
      </w:pPr>
    </w:p>
    <w:p w:rsidR="00695CFA" w:rsidRPr="00E57C0E" w:rsidRDefault="00695CFA" w:rsidP="00695CFA">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Ոչ ֆինանսական ակտիվների հետ գործառնությունները կազմել են 114.5 մլրդ դրամ, որում ոչ ֆինանսական ակտիվների գծով ծախսերը (կապիտալ ծախսեր) կազմել են 116.9 մլրդ դրամ` նախորդ տարվա նույն ժամանակահատվածի նկատմամբ աճելով 16.2%</w:t>
      </w:r>
      <w:r w:rsidRPr="00E57C0E">
        <w:rPr>
          <w:rFonts w:ascii="GHEA Grapalat" w:hAnsi="GHEA Grapalat" w:cs="GHEA Grapalat"/>
          <w:sz w:val="22"/>
          <w:szCs w:val="22"/>
        </w:rPr>
        <w:noBreakHyphen/>
        <w:t>ով: Ընթացիկ ծախսերում ներառված համայնքներին տրվող կապիտալ բնույթի սուբվենցիաների գծով ծախսերը կազմել են 7.6</w:t>
      </w:r>
      <w:r w:rsidRPr="00E57C0E">
        <w:rPr>
          <w:rFonts w:ascii="Calibri" w:hAnsi="Calibri" w:cs="Calibri"/>
          <w:sz w:val="22"/>
          <w:szCs w:val="22"/>
        </w:rPr>
        <w:t> </w:t>
      </w:r>
      <w:r w:rsidRPr="00E57C0E">
        <w:rPr>
          <w:rFonts w:ascii="GHEA Grapalat" w:hAnsi="GHEA Grapalat" w:cs="GHEA Grapalat"/>
          <w:sz w:val="22"/>
          <w:szCs w:val="22"/>
        </w:rPr>
        <w:t>մլրդ դրամ, որոնք նախորդ տարվա նույն ժամանակահատվածի նկատմամբ աճել են ավելի քան 2</w:t>
      </w:r>
      <w:r w:rsidR="005F227E" w:rsidRPr="00E57C0E">
        <w:rPr>
          <w:rFonts w:ascii="GHEA Grapalat" w:hAnsi="GHEA Grapalat" w:cs="GHEA Grapalat"/>
          <w:sz w:val="22"/>
          <w:szCs w:val="22"/>
        </w:rPr>
        <w:t>.2</w:t>
      </w:r>
      <w:r w:rsidRPr="00E57C0E">
        <w:rPr>
          <w:rFonts w:ascii="GHEA Grapalat" w:hAnsi="GHEA Grapalat" w:cs="GHEA Grapalat"/>
          <w:sz w:val="22"/>
          <w:szCs w:val="22"/>
        </w:rPr>
        <w:t xml:space="preserve"> անգամ: Ե՛վ ներքին, և՛ արտաքին միջոցների հաշվին իրականացված ոչ ֆինանսական ակտիվների գծով գործառնությունները թերակատարվել են, որոնց շրջանակներում օգտագործվել է վեց ամիսների ծրագրված միջոցների ընդամենը 52.3%-ը՝ նախորդ տարվա 58.2%-ի դիմաց (նշենք, որ ոչ ֆինանսական ակտիվների գծով ծախսերի ճշտված պլանը նախորդ տարվա նույն ժամանակահատվածի նկատմամբ շուրջ 30 տոկոսով (52.5 մլրդ դամով) ավելի բարձր է): Արտաքին ֆինանսավորմամբ կապիտալ ծախսերի ճշտված ծրագրի կատարողականը նախորդ տարվա նույն ե</w:t>
      </w:r>
      <w:r w:rsidR="0056075C">
        <w:rPr>
          <w:rFonts w:ascii="GHEA Grapalat" w:hAnsi="GHEA Grapalat" w:cs="GHEA Grapalat"/>
          <w:sz w:val="22"/>
          <w:szCs w:val="22"/>
        </w:rPr>
        <w:t>ժամանակահատված</w:t>
      </w:r>
      <w:r w:rsidRPr="00E57C0E">
        <w:rPr>
          <w:rFonts w:ascii="GHEA Grapalat" w:hAnsi="GHEA Grapalat" w:cs="GHEA Grapalat"/>
          <w:sz w:val="22"/>
          <w:szCs w:val="22"/>
        </w:rPr>
        <w:t xml:space="preserve">ի նկատմամբ բարելավվել է 11.8 տոկոսային կետով՝ կազմելով 44.4%՝ նախորդ </w:t>
      </w:r>
      <w:r w:rsidRPr="00E57C0E">
        <w:rPr>
          <w:rFonts w:ascii="GHEA Grapalat" w:hAnsi="GHEA Grapalat" w:cs="GHEA Grapalat"/>
          <w:sz w:val="22"/>
          <w:szCs w:val="22"/>
        </w:rPr>
        <w:lastRenderedPageBreak/>
        <w:t>տարվա նույն ժամանակահատվածի 32.6%-ի դիմաց, իսկ ներքին միջոցների հաշվին իրականացված կապիտալ ծրագրերի կատարողականը վատթարացել է: Կատարողականի համեմատաբար ցածր ցուցանիշները ցույց են տալիս, որ կապիտալ ծրագրերի կառավարման և իրականացման խնդիրը շարունակում է մնալ արդիական։ Միաժամանակ, պետք է նշել, որ կապիտալ ծախսերի կատարումը վերջին տարիներին ուղեկցվում է դրանց պլանավորված ծավալների շարունակական ավելացմամբ, ինչը զսպում է կատարողականի առավել արագ բարելավումը։</w:t>
      </w:r>
    </w:p>
    <w:p w:rsidR="00695CFA" w:rsidRPr="00E57C0E" w:rsidRDefault="00695CFA" w:rsidP="00695CFA">
      <w:pPr>
        <w:spacing w:line="360" w:lineRule="auto"/>
        <w:ind w:firstLine="567"/>
        <w:jc w:val="both"/>
        <w:rPr>
          <w:rFonts w:ascii="GHEA Grapalat" w:hAnsi="GHEA Grapalat" w:cs="GHEA Grapalat"/>
          <w:sz w:val="22"/>
          <w:szCs w:val="22"/>
        </w:rPr>
      </w:pPr>
      <w:r w:rsidRPr="00E57C0E">
        <w:rPr>
          <w:rFonts w:ascii="GHEA Grapalat" w:hAnsi="GHEA Grapalat" w:cs="GHEA Grapalat"/>
          <w:b/>
          <w:i/>
          <w:sz w:val="22"/>
          <w:szCs w:val="22"/>
        </w:rPr>
        <w:t xml:space="preserve">Պետական աջակցության ծրագրերը: </w:t>
      </w:r>
      <w:r w:rsidRPr="00E57C0E">
        <w:rPr>
          <w:rFonts w:ascii="GHEA Grapalat" w:hAnsi="GHEA Grapalat" w:cs="GHEA Grapalat"/>
          <w:sz w:val="22"/>
          <w:szCs w:val="22"/>
        </w:rPr>
        <w:t xml:space="preserve">Սոցիալ-տնտեսական իրավիճակով պայմանավորված՝ հարկաբյուջետային քաղաքականության աջակցության միջոցառումների իրականացումը շարունակվել է նաև 2023 թվականին: Տնտեսության արդիականացման պետական ծրագրի ներքո, որը ներառում է արտադրական կարողությունների արդիականացման (նոր մեքենա-սարքավորումների ձեռքբերման նպատակով տրամադրված վարկերի/լիզինգի տոկոսադույքների սուբսիդավորում) և բարձր որակավորում ունեցող մասնագետների ներգրավման (բարձր որակավորում ունեցող մասնագետի աշխատավարձի և դրան հավասարեցված այլ վճարների 20-70% փոխհատուցում) միջոցառումները, տնտեսավարողներին որպես աջակցություն տրամադրվել է 2.7 մլրդ դրամ։ Իսկ «Պետական աջակցություն տեղեկատվական տեխնոլոգիաների ոլորտում գործունեություն իրականացնող առևտրային կազմակերպություններին և անհատ ձեռնարկատերերին» ծրագրի գծով, որով ՏՏ ոլորտի կազմակերպությունները օժանդակություն են ստանում նոր աշխատակիցների վճարած եկամտային հարկի 50%-ի չափով, փաստացի ծախսերը 2023 թվականի հունվար-հունիս ամիսներին կազմել են շուրջ 11.9 մլրդ դրամ: </w:t>
      </w:r>
    </w:p>
    <w:p w:rsidR="00695CFA" w:rsidRPr="00E57C0E" w:rsidRDefault="00695CFA" w:rsidP="00695CFA">
      <w:pPr>
        <w:spacing w:line="360" w:lineRule="auto"/>
        <w:ind w:firstLine="567"/>
        <w:jc w:val="both"/>
        <w:rPr>
          <w:rFonts w:ascii="GHEA Grapalat" w:hAnsi="GHEA Grapalat" w:cs="GHEA Grapalat"/>
          <w:sz w:val="22"/>
          <w:szCs w:val="22"/>
        </w:rPr>
      </w:pPr>
      <w:r w:rsidRPr="00E57C0E">
        <w:rPr>
          <w:rFonts w:ascii="GHEA Grapalat" w:hAnsi="GHEA Grapalat" w:cs="GHEA Grapalat"/>
          <w:sz w:val="22"/>
          <w:szCs w:val="22"/>
        </w:rPr>
        <w:t>Հաշվետու ժամանակահատ</w:t>
      </w:r>
      <w:r w:rsidR="001E3F8B" w:rsidRPr="00E57C0E">
        <w:rPr>
          <w:rFonts w:ascii="GHEA Grapalat" w:hAnsi="GHEA Grapalat" w:cs="GHEA Grapalat"/>
          <w:sz w:val="22"/>
          <w:szCs w:val="22"/>
        </w:rPr>
        <w:t>վածում աճել են գյուղատնտեսությա</w:t>
      </w:r>
      <w:r w:rsidRPr="00E57C0E">
        <w:rPr>
          <w:rFonts w:ascii="GHEA Grapalat" w:hAnsi="GHEA Grapalat" w:cs="GHEA Grapalat"/>
          <w:sz w:val="22"/>
          <w:szCs w:val="22"/>
        </w:rPr>
        <w:t>ն ոլորտի սուբսիդիաները՝ նախորդ տարվա նույն ժամանակահատվածի 14.6 մլրդ դրամից դառնալով 16.0 մլրդ դրամ՝ աճելով 9.4%-ով (որում ներառված են նաև գյուղատնտեսական վարկերի տոկոսադրույքների սուբսիդավորումը (4.8 մլրդ դրամ), ինտենսիվ այգեգործության զարգացման նպատակով սուբսիդավորում</w:t>
      </w:r>
      <w:r w:rsidR="001E3F8B" w:rsidRPr="00E57C0E">
        <w:rPr>
          <w:rFonts w:ascii="GHEA Grapalat" w:hAnsi="GHEA Grapalat" w:cs="GHEA Grapalat"/>
          <w:sz w:val="22"/>
          <w:szCs w:val="22"/>
        </w:rPr>
        <w:t>ը</w:t>
      </w:r>
      <w:r w:rsidRPr="00E57C0E">
        <w:rPr>
          <w:rFonts w:ascii="GHEA Grapalat" w:hAnsi="GHEA Grapalat" w:cs="GHEA Grapalat"/>
          <w:sz w:val="22"/>
          <w:szCs w:val="22"/>
        </w:rPr>
        <w:t xml:space="preserve"> (3.5 մլրդ դրամ), գյուղատնտեսական տեխնիկայի</w:t>
      </w:r>
      <w:r w:rsidR="008B7237" w:rsidRPr="00E57C0E">
        <w:rPr>
          <w:rFonts w:ascii="GHEA Grapalat" w:hAnsi="GHEA Grapalat" w:cs="GHEA Grapalat"/>
          <w:sz w:val="22"/>
          <w:szCs w:val="22"/>
        </w:rPr>
        <w:t xml:space="preserve"> </w:t>
      </w:r>
      <w:r w:rsidRPr="00E57C0E">
        <w:rPr>
          <w:rFonts w:ascii="GHEA Grapalat" w:hAnsi="GHEA Grapalat" w:cs="GHEA Grapalat"/>
          <w:sz w:val="22"/>
          <w:szCs w:val="22"/>
        </w:rPr>
        <w:t>և ագրոպարենային ոլորտի սարքավորումների</w:t>
      </w:r>
      <w:r w:rsidR="008B7237" w:rsidRPr="00E57C0E">
        <w:rPr>
          <w:rFonts w:ascii="GHEA Grapalat" w:hAnsi="GHEA Grapalat" w:cs="GHEA Grapalat"/>
          <w:sz w:val="22"/>
          <w:szCs w:val="22"/>
        </w:rPr>
        <w:t xml:space="preserve"> </w:t>
      </w:r>
      <w:r w:rsidRPr="00E57C0E">
        <w:rPr>
          <w:rFonts w:ascii="GHEA Grapalat" w:hAnsi="GHEA Grapalat" w:cs="GHEA Grapalat"/>
          <w:sz w:val="22"/>
          <w:szCs w:val="22"/>
        </w:rPr>
        <w:t>լիզինգի</w:t>
      </w:r>
      <w:r w:rsidR="008B7237" w:rsidRPr="00E57C0E">
        <w:rPr>
          <w:rFonts w:ascii="GHEA Grapalat" w:hAnsi="GHEA Grapalat" w:cs="GHEA Grapalat"/>
          <w:sz w:val="22"/>
          <w:szCs w:val="22"/>
        </w:rPr>
        <w:t xml:space="preserve"> </w:t>
      </w:r>
      <w:r w:rsidRPr="00E57C0E">
        <w:rPr>
          <w:rFonts w:ascii="GHEA Grapalat" w:hAnsi="GHEA Grapalat" w:cs="GHEA Grapalat"/>
          <w:sz w:val="22"/>
          <w:szCs w:val="22"/>
        </w:rPr>
        <w:t>աջակցությունը (1.5</w:t>
      </w:r>
      <w:r w:rsidRPr="00E57C0E">
        <w:rPr>
          <w:rFonts w:ascii="Calibri" w:hAnsi="Calibri" w:cs="Calibri"/>
          <w:sz w:val="22"/>
          <w:szCs w:val="22"/>
        </w:rPr>
        <w:t> </w:t>
      </w:r>
      <w:r w:rsidRPr="00E57C0E">
        <w:rPr>
          <w:rFonts w:ascii="GHEA Grapalat" w:hAnsi="GHEA Grapalat" w:cs="GHEA Grapalat"/>
          <w:sz w:val="22"/>
          <w:szCs w:val="22"/>
        </w:rPr>
        <w:t>մլրդ դրամ) և գյուղատնտեսության ոլորտի սուբսիդավորման այլ ծրագրեր): 2023 թվականի հունվար-հունիսին աճել է ՀՀ պետական բյուջեից Արցախի Հանրապետությանը տրամադրված միջպետական վարկի ծավալը՝ կազմելով 103.6 մլրդ դրամ՝ նախորդ տարվա նույն ժամանակահատվածի 93.1 մլրդ դրամի համեմատ:</w:t>
      </w:r>
    </w:p>
    <w:p w:rsidR="00695CFA" w:rsidRPr="00E57C0E" w:rsidRDefault="00695CFA" w:rsidP="00695CFA">
      <w:pPr>
        <w:spacing w:line="360" w:lineRule="auto"/>
        <w:ind w:firstLine="567"/>
        <w:jc w:val="both"/>
        <w:rPr>
          <w:rFonts w:ascii="GHEA Grapalat" w:hAnsi="GHEA Grapalat" w:cs="GHEA Grapalat"/>
          <w:sz w:val="22"/>
          <w:szCs w:val="22"/>
        </w:rPr>
      </w:pPr>
      <w:r w:rsidRPr="00E57C0E">
        <w:rPr>
          <w:rFonts w:ascii="GHEA Grapalat" w:hAnsi="GHEA Grapalat" w:cs="GHEA Grapalat"/>
          <w:b/>
          <w:i/>
          <w:sz w:val="22"/>
          <w:szCs w:val="22"/>
        </w:rPr>
        <w:t>Պետական բյուջեի հաշվեկշիռը:</w:t>
      </w:r>
      <w:r w:rsidRPr="00E57C0E">
        <w:rPr>
          <w:rFonts w:ascii="GHEA Grapalat" w:hAnsi="GHEA Grapalat" w:cs="GHEA Grapalat"/>
          <w:sz w:val="22"/>
          <w:szCs w:val="22"/>
        </w:rPr>
        <w:t xml:space="preserve"> Վերոնշյալ զարգացումների արդյունքում պետական բյուջեն եղել է հավելուրդային: 2023 թվականի վեց ամիսներին ձևավորվել է պետական բյուջեի 134.3 մլրդ դրամ հավելուրդ՝ նախորդ տարվա նույն ժամանակահատվածի 72.4 մլրդ դրամ հավելուրդի դիմաց: </w:t>
      </w:r>
    </w:p>
    <w:p w:rsidR="00695CFA" w:rsidRPr="00E57C0E" w:rsidRDefault="00695CFA" w:rsidP="00695CFA">
      <w:pPr>
        <w:spacing w:line="360" w:lineRule="auto"/>
        <w:ind w:firstLine="540"/>
        <w:jc w:val="both"/>
        <w:rPr>
          <w:rFonts w:ascii="GHEA Grapalat" w:hAnsi="GHEA Grapalat" w:cs="GHEA Grapalat"/>
          <w:sz w:val="22"/>
          <w:szCs w:val="22"/>
        </w:rPr>
      </w:pPr>
      <w:r w:rsidRPr="00E57C0E">
        <w:rPr>
          <w:rFonts w:ascii="GHEA Grapalat" w:hAnsi="GHEA Grapalat" w:cs="GHEA Grapalat"/>
          <w:b/>
          <w:i/>
          <w:sz w:val="22"/>
          <w:szCs w:val="22"/>
        </w:rPr>
        <w:t>Հարկաբյուջետային ազդակը:</w:t>
      </w:r>
      <w:r w:rsidRPr="00E57C0E">
        <w:rPr>
          <w:rFonts w:ascii="GHEA Grapalat" w:hAnsi="GHEA Grapalat" w:cs="GHEA Grapalat"/>
          <w:sz w:val="22"/>
          <w:szCs w:val="22"/>
        </w:rPr>
        <w:t xml:space="preserve"> 2023 թվականի վեց ամիսների բարձր տնտեսական աճի պայմաններում հարկաբյուջետային քաղաքականության ազդեցությունն ամբողջական պահանջարկի </w:t>
      </w:r>
      <w:r w:rsidRPr="00E57C0E">
        <w:rPr>
          <w:rFonts w:ascii="GHEA Grapalat" w:hAnsi="GHEA Grapalat" w:cs="GHEA Grapalat"/>
          <w:sz w:val="22"/>
          <w:szCs w:val="22"/>
        </w:rPr>
        <w:lastRenderedPageBreak/>
        <w:t>վրա գնահատվում է զսպող: Համախառն պահանջարկի վրա հարկաբյուջետային քաղաքականությունը 2023 թվականի վեց ամիսներին նախորդ տարվա նույն ժամանակահատվածի նկատմամբ ունեցել է զսպող (-0.6) ազդեցություն` պայմանավորված եկամուտների թույլ զսպող (-0.4) և ծախսերի (-0.2) չեզոքին մոտ ազդեցություններով:</w:t>
      </w:r>
    </w:p>
    <w:p w:rsidR="00042F58" w:rsidRPr="00E57C0E" w:rsidRDefault="00042F58" w:rsidP="00695CFA">
      <w:pPr>
        <w:spacing w:line="360" w:lineRule="auto"/>
        <w:ind w:firstLine="540"/>
        <w:jc w:val="both"/>
        <w:rPr>
          <w:rFonts w:ascii="GHEA Grapalat" w:hAnsi="GHEA Grapalat" w:cs="GHEA Grapalat"/>
          <w:sz w:val="22"/>
          <w:szCs w:val="22"/>
        </w:rPr>
      </w:pPr>
    </w:p>
    <w:p w:rsidR="00695CFA" w:rsidRPr="00E57C0E" w:rsidRDefault="00695CFA" w:rsidP="00042F58">
      <w:pPr>
        <w:keepNext/>
        <w:keepLines/>
        <w:numPr>
          <w:ilvl w:val="0"/>
          <w:numId w:val="26"/>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E57C0E">
        <w:rPr>
          <w:rFonts w:ascii="GHEA Grapalat" w:hAnsi="GHEA Grapalat" w:cs="Sylfaen"/>
          <w:sz w:val="22"/>
          <w:szCs w:val="22"/>
        </w:rPr>
        <w:t>Հարկաբյուջետային ազդակը 2019-2023 թվականներին</w:t>
      </w:r>
      <w:r w:rsidRPr="00E57C0E">
        <w:rPr>
          <w:rFonts w:ascii="GHEA Grapalat" w:hAnsi="GHEA Grapalat" w:cs="Sylfaen"/>
          <w:sz w:val="22"/>
          <w:szCs w:val="22"/>
          <w:vertAlign w:val="superscript"/>
        </w:rPr>
        <w:footnoteReference w:id="24"/>
      </w:r>
    </w:p>
    <w:p w:rsidR="00695CFA" w:rsidRPr="00E57C0E" w:rsidRDefault="00695CFA" w:rsidP="00695CFA">
      <w:pPr>
        <w:tabs>
          <w:tab w:val="left" w:pos="0"/>
        </w:tabs>
        <w:spacing w:after="120" w:line="276" w:lineRule="auto"/>
        <w:ind w:hanging="90"/>
        <w:jc w:val="center"/>
        <w:rPr>
          <w:rFonts w:ascii="GHEA Grapalat" w:hAnsi="GHEA Grapalat" w:cs="GHEA Grapalat"/>
          <w:sz w:val="22"/>
          <w:szCs w:val="22"/>
        </w:rPr>
      </w:pPr>
      <w:r w:rsidRPr="00E57C0E">
        <w:rPr>
          <w:rFonts w:ascii="GHEA Grapalat" w:eastAsia="GHEA Grapalat" w:hAnsi="GHEA Grapalat" w:cs="GHEA Grapalat"/>
          <w:b/>
          <w:noProof/>
        </w:rPr>
        <w:drawing>
          <wp:inline distT="0" distB="0" distL="0" distR="0" wp14:anchorId="34ABF132" wp14:editId="4350D44B">
            <wp:extent cx="5759450" cy="2543175"/>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62F9B" w:rsidRPr="003E0B7E" w:rsidRDefault="00262F9B" w:rsidP="003E0B7E">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4" w:name="_Toc165293254"/>
      <w:r w:rsidRPr="003E0B7E">
        <w:rPr>
          <w:rFonts w:ascii="GHEA Grapalat" w:hAnsi="GHEA Grapalat"/>
          <w:i w:val="0"/>
          <w:noProof/>
          <w:sz w:val="22"/>
          <w:szCs w:val="22"/>
          <w:lang w:val="de-AT"/>
        </w:rPr>
        <w:t xml:space="preserve">Աղյուսակ </w:t>
      </w:r>
      <w:r w:rsidR="00C007A1" w:rsidRPr="003E0B7E">
        <w:rPr>
          <w:rFonts w:ascii="GHEA Grapalat" w:hAnsi="GHEA Grapalat"/>
          <w:i w:val="0"/>
          <w:noProof/>
          <w:sz w:val="22"/>
          <w:szCs w:val="22"/>
          <w:lang w:val="de-AT"/>
        </w:rPr>
        <w:t>1</w:t>
      </w:r>
      <w:r w:rsidRPr="003E0B7E">
        <w:rPr>
          <w:rFonts w:ascii="GHEA Grapalat" w:hAnsi="GHEA Grapalat"/>
          <w:i w:val="0"/>
          <w:noProof/>
          <w:sz w:val="22"/>
          <w:szCs w:val="22"/>
          <w:lang w:val="de-AT"/>
        </w:rPr>
        <w:t xml:space="preserve">: </w:t>
      </w:r>
      <w:r w:rsidRPr="003E0B7E">
        <w:rPr>
          <w:rFonts w:ascii="GHEA Grapalat" w:hAnsi="GHEA Grapalat"/>
          <w:b w:val="0"/>
          <w:i w:val="0"/>
          <w:noProof/>
          <w:sz w:val="22"/>
          <w:szCs w:val="22"/>
          <w:lang w:val="de-AT"/>
        </w:rPr>
        <w:t>Տնտեսության ճյուղերի և ենթաճյուղերի, արտահանման և ներմուծման ապրանքախմբերի հիմնական ցուցանիշները</w:t>
      </w:r>
      <w:bookmarkEnd w:id="34"/>
    </w:p>
    <w:p w:rsidR="00262F9B" w:rsidRPr="00E57C0E" w:rsidRDefault="00262F9B" w:rsidP="00262F9B">
      <w:pPr>
        <w:jc w:val="center"/>
        <w:rPr>
          <w:rFonts w:ascii="GHEA Grapalat" w:hAnsi="GHEA Grapalat" w:cs="Arial"/>
          <w:b/>
          <w:sz w:val="22"/>
          <w:szCs w:val="20"/>
          <w:lang w:val="hy-AM"/>
        </w:rPr>
      </w:pPr>
    </w:p>
    <w:p w:rsidR="00262F9B" w:rsidRPr="00E57C0E" w:rsidRDefault="00262F9B" w:rsidP="00262F9B">
      <w:pPr>
        <w:jc w:val="center"/>
        <w:rPr>
          <w:rFonts w:ascii="GHEA Grapalat" w:hAnsi="GHEA Grapalat"/>
          <w:sz w:val="22"/>
          <w:szCs w:val="20"/>
          <w:lang w:val="hy-AM"/>
        </w:rPr>
      </w:pPr>
      <w:r w:rsidRPr="00E57C0E">
        <w:rPr>
          <w:rFonts w:ascii="GHEA Grapalat" w:hAnsi="GHEA Grapalat" w:cs="Arial"/>
          <w:b/>
          <w:sz w:val="22"/>
          <w:szCs w:val="20"/>
          <w:lang w:val="hy-AM"/>
        </w:rPr>
        <w:t xml:space="preserve">Աղյուսակ </w:t>
      </w:r>
      <w:r w:rsidR="00C007A1" w:rsidRPr="00E57C0E">
        <w:rPr>
          <w:rFonts w:ascii="GHEA Grapalat" w:hAnsi="GHEA Grapalat" w:cs="Arial"/>
          <w:b/>
          <w:sz w:val="22"/>
          <w:szCs w:val="20"/>
          <w:lang w:val="hy-AM"/>
        </w:rPr>
        <w:t>1.1</w:t>
      </w:r>
      <w:r w:rsidRPr="00E57C0E">
        <w:rPr>
          <w:rFonts w:ascii="GHEA Grapalat" w:hAnsi="GHEA Grapalat" w:cs="Arial"/>
          <w:b/>
          <w:sz w:val="22"/>
          <w:szCs w:val="20"/>
          <w:lang w:val="hy-AM"/>
        </w:rPr>
        <w:t xml:space="preserve">: </w:t>
      </w:r>
      <w:r w:rsidRPr="00E57C0E">
        <w:rPr>
          <w:rFonts w:ascii="GHEA Grapalat" w:hAnsi="GHEA Grapalat" w:cs="Arial"/>
          <w:sz w:val="22"/>
          <w:szCs w:val="20"/>
          <w:lang w:val="hy-AM"/>
        </w:rPr>
        <w:t>Տնտեսության ճյուղերի և ենթաճյուղերի թողարկման</w:t>
      </w:r>
      <w:r w:rsidRPr="00E57C0E">
        <w:rPr>
          <w:rFonts w:ascii="GHEA Grapalat" w:hAnsi="GHEA Grapalat"/>
          <w:sz w:val="22"/>
          <w:szCs w:val="20"/>
          <w:lang w:val="hy-AM"/>
        </w:rPr>
        <w:t xml:space="preserve"> </w:t>
      </w:r>
      <w:r w:rsidRPr="00E57C0E">
        <w:rPr>
          <w:rFonts w:ascii="GHEA Grapalat" w:hAnsi="GHEA Grapalat" w:cs="Arial"/>
          <w:sz w:val="22"/>
          <w:szCs w:val="20"/>
          <w:lang w:val="hy-AM"/>
        </w:rPr>
        <w:t>ծավալների</w:t>
      </w:r>
      <w:r w:rsidRPr="00E57C0E">
        <w:rPr>
          <w:rFonts w:ascii="GHEA Grapalat" w:hAnsi="GHEA Grapalat"/>
          <w:sz w:val="22"/>
          <w:szCs w:val="20"/>
          <w:lang w:val="hy-AM"/>
        </w:rPr>
        <w:t xml:space="preserve"> </w:t>
      </w:r>
      <w:r w:rsidRPr="00E57C0E">
        <w:rPr>
          <w:rFonts w:ascii="GHEA Grapalat" w:hAnsi="GHEA Grapalat" w:cs="Arial"/>
          <w:sz w:val="22"/>
          <w:szCs w:val="20"/>
          <w:lang w:val="hy-AM"/>
        </w:rPr>
        <w:t>ցուցանիշները,</w:t>
      </w:r>
      <w:r w:rsidRPr="00E57C0E">
        <w:rPr>
          <w:rFonts w:ascii="GHEA Grapalat" w:hAnsi="GHEA Grapalat"/>
          <w:sz w:val="22"/>
          <w:szCs w:val="20"/>
          <w:lang w:val="hy-AM"/>
        </w:rPr>
        <w:t xml:space="preserve"> </w:t>
      </w:r>
    </w:p>
    <w:p w:rsidR="00262F9B" w:rsidRPr="00E57C0E" w:rsidRDefault="00262F9B" w:rsidP="00483C46">
      <w:pPr>
        <w:jc w:val="center"/>
        <w:rPr>
          <w:rFonts w:ascii="GHEA Grapalat" w:hAnsi="GHEA Grapalat"/>
          <w:sz w:val="22"/>
          <w:szCs w:val="20"/>
        </w:rPr>
      </w:pPr>
      <w:r w:rsidRPr="00E57C0E">
        <w:rPr>
          <w:rFonts w:ascii="GHEA Grapalat" w:hAnsi="GHEA Grapalat"/>
          <w:sz w:val="22"/>
          <w:szCs w:val="20"/>
          <w:lang w:val="hy-AM"/>
        </w:rPr>
        <w:t>2023</w:t>
      </w:r>
      <w:r w:rsidRPr="00E57C0E">
        <w:rPr>
          <w:rFonts w:ascii="GHEA Grapalat" w:hAnsi="GHEA Grapalat" w:cs="Arial"/>
          <w:sz w:val="22"/>
          <w:szCs w:val="20"/>
          <w:lang w:val="hy-AM"/>
        </w:rPr>
        <w:t xml:space="preserve"> թվականի</w:t>
      </w:r>
      <w:r w:rsidR="00483C46" w:rsidRPr="00E57C0E">
        <w:rPr>
          <w:rFonts w:ascii="GHEA Grapalat" w:hAnsi="GHEA Grapalat"/>
          <w:sz w:val="22"/>
          <w:szCs w:val="20"/>
          <w:lang w:val="hy-AM"/>
        </w:rPr>
        <w:t xml:space="preserve"> հունվար-</w:t>
      </w:r>
      <w:r w:rsidR="00483C46" w:rsidRPr="00E57C0E">
        <w:rPr>
          <w:rFonts w:ascii="GHEA Grapalat" w:hAnsi="GHEA Grapalat"/>
          <w:sz w:val="22"/>
          <w:szCs w:val="20"/>
        </w:rPr>
        <w:t>հունիս</w:t>
      </w:r>
    </w:p>
    <w:tbl>
      <w:tblPr>
        <w:tblStyle w:val="GridTable4-Accent11"/>
        <w:tblW w:w="10188" w:type="dxa"/>
        <w:tblLook w:val="04A0" w:firstRow="1" w:lastRow="0" w:firstColumn="1" w:lastColumn="0" w:noHBand="0" w:noVBand="1"/>
      </w:tblPr>
      <w:tblGrid>
        <w:gridCol w:w="4315"/>
        <w:gridCol w:w="1440"/>
        <w:gridCol w:w="1343"/>
        <w:gridCol w:w="1225"/>
        <w:gridCol w:w="1865"/>
      </w:tblGrid>
      <w:tr w:rsidR="00AA791E" w:rsidRPr="00E57C0E" w:rsidTr="00AA791E">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jc w:val="center"/>
              <w:rPr>
                <w:rFonts w:ascii="GHEA Grapalat" w:hAnsi="GHEA Grapalat"/>
                <w:i/>
                <w:iCs/>
                <w:color w:val="FF0000"/>
                <w:sz w:val="20"/>
                <w:szCs w:val="20"/>
                <w:lang w:val="hy-AM"/>
              </w:rPr>
            </w:pPr>
          </w:p>
        </w:tc>
        <w:tc>
          <w:tcPr>
            <w:tcW w:w="144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Արժեք (մլրդ դրամ)</w:t>
            </w:r>
          </w:p>
        </w:tc>
        <w:tc>
          <w:tcPr>
            <w:tcW w:w="1343"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Կշիռը (%)</w:t>
            </w:r>
          </w:p>
        </w:tc>
        <w:tc>
          <w:tcPr>
            <w:tcW w:w="1225"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Աճի ինդեքս</w:t>
            </w:r>
          </w:p>
        </w:tc>
        <w:tc>
          <w:tcPr>
            <w:tcW w:w="1865"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Նպաստում (տոկոսային կետ)</w:t>
            </w:r>
            <w:r w:rsidRPr="00E57C0E">
              <w:rPr>
                <w:rFonts w:ascii="GHEA Grapalat" w:hAnsi="GHEA Grapalat"/>
                <w:sz w:val="20"/>
                <w:szCs w:val="20"/>
                <w:vertAlign w:val="superscript"/>
                <w:lang w:val="hy-AM"/>
              </w:rPr>
              <w:footnoteReference w:id="25"/>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rPr>
                <w:rFonts w:ascii="GHEA Grapalat" w:hAnsi="GHEA Grapalat"/>
                <w:b w:val="0"/>
                <w:sz w:val="20"/>
                <w:szCs w:val="20"/>
                <w:lang w:val="hy-AM"/>
              </w:rPr>
            </w:pPr>
            <w:r w:rsidRPr="00E57C0E">
              <w:rPr>
                <w:rFonts w:ascii="GHEA Grapalat" w:hAnsi="GHEA Grapalat"/>
                <w:b w:val="0"/>
                <w:sz w:val="20"/>
                <w:szCs w:val="20"/>
                <w:lang w:val="hy-AM"/>
              </w:rPr>
              <w:t>Ամբողջ արդյունաբերություն, այդ թվում՝</w:t>
            </w:r>
          </w:p>
        </w:tc>
        <w:tc>
          <w:tcPr>
            <w:tcW w:w="1440"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1167.5</w:t>
            </w:r>
          </w:p>
        </w:tc>
        <w:tc>
          <w:tcPr>
            <w:tcW w:w="134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100.0</w:t>
            </w:r>
          </w:p>
        </w:tc>
        <w:tc>
          <w:tcPr>
            <w:tcW w:w="1225"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101.0</w:t>
            </w:r>
          </w:p>
        </w:tc>
        <w:tc>
          <w:tcPr>
            <w:tcW w:w="1865"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w:t>
            </w:r>
          </w:p>
        </w:tc>
      </w:tr>
      <w:tr w:rsidR="00AA791E" w:rsidRPr="00E57C0E" w:rsidTr="00AA791E">
        <w:trPr>
          <w:trHeight w:val="203"/>
        </w:trPr>
        <w:tc>
          <w:tcPr>
            <w:cnfStyle w:val="001000000000" w:firstRow="0" w:lastRow="0" w:firstColumn="1" w:lastColumn="0" w:oddVBand="0" w:evenVBand="0" w:oddHBand="0" w:evenHBand="0" w:firstRowFirstColumn="0" w:firstRowLastColumn="0" w:lastRowFirstColumn="0" w:lastRowLastColumn="0"/>
            <w:tcW w:w="4315" w:type="dxa"/>
            <w:hideMark/>
          </w:tcPr>
          <w:p w:rsidR="00AA791E" w:rsidRPr="00E57C0E" w:rsidRDefault="00AA791E" w:rsidP="00AA791E">
            <w:pPr>
              <w:rPr>
                <w:rFonts w:ascii="GHEA Grapalat" w:hAnsi="GHEA Grapalat"/>
                <w:b w:val="0"/>
                <w:sz w:val="20"/>
                <w:szCs w:val="20"/>
                <w:lang w:val="hy-AM"/>
              </w:rPr>
            </w:pPr>
            <w:r w:rsidRPr="00E57C0E">
              <w:rPr>
                <w:rFonts w:ascii="Calibri" w:hAnsi="Calibri" w:cs="Calibri"/>
                <w:b w:val="0"/>
                <w:sz w:val="20"/>
                <w:szCs w:val="20"/>
                <w:lang w:val="hy-AM"/>
              </w:rPr>
              <w:t> </w:t>
            </w:r>
          </w:p>
        </w:tc>
        <w:tc>
          <w:tcPr>
            <w:tcW w:w="1440"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4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25"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65"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A791E" w:rsidRPr="00E57C0E" w:rsidRDefault="00AA791E" w:rsidP="00AA791E">
            <w:pPr>
              <w:ind w:left="270" w:hanging="180"/>
              <w:rPr>
                <w:rFonts w:ascii="GHEA Grapalat" w:hAnsi="GHEA Grapalat"/>
                <w:b w:val="0"/>
                <w:sz w:val="20"/>
                <w:szCs w:val="20"/>
                <w:lang w:val="hy-AM"/>
              </w:rPr>
            </w:pPr>
            <w:r w:rsidRPr="00E57C0E">
              <w:rPr>
                <w:rFonts w:ascii="GHEA Grapalat" w:hAnsi="GHEA Grapalat"/>
                <w:b w:val="0"/>
                <w:sz w:val="20"/>
                <w:szCs w:val="20"/>
                <w:lang w:val="hy-AM"/>
              </w:rPr>
              <w:t>հանքագործական արդյունաբերություն և բացահանքերի շահագործում</w:t>
            </w:r>
          </w:p>
        </w:tc>
        <w:tc>
          <w:tcPr>
            <w:tcW w:w="1440"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228.6</w:t>
            </w:r>
          </w:p>
        </w:tc>
        <w:tc>
          <w:tcPr>
            <w:tcW w:w="134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19.6</w:t>
            </w:r>
          </w:p>
        </w:tc>
        <w:tc>
          <w:tcPr>
            <w:tcW w:w="1225"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93.1</w:t>
            </w:r>
          </w:p>
        </w:tc>
        <w:tc>
          <w:tcPr>
            <w:tcW w:w="1865"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-1.7</w:t>
            </w:r>
          </w:p>
        </w:tc>
      </w:tr>
      <w:tr w:rsidR="00AA791E" w:rsidRPr="00E57C0E" w:rsidTr="00AA791E">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left="270" w:hanging="180"/>
              <w:rPr>
                <w:rFonts w:ascii="GHEA Grapalat" w:hAnsi="GHEA Grapalat"/>
                <w:b w:val="0"/>
                <w:sz w:val="20"/>
                <w:szCs w:val="20"/>
                <w:lang w:val="hy-AM"/>
              </w:rPr>
            </w:pPr>
            <w:r w:rsidRPr="00E57C0E">
              <w:rPr>
                <w:rFonts w:ascii="GHEA Grapalat" w:hAnsi="GHEA Grapalat"/>
                <w:b w:val="0"/>
                <w:sz w:val="20"/>
                <w:szCs w:val="20"/>
                <w:lang w:val="hy-AM"/>
              </w:rPr>
              <w:t>մշակող արդյունաբերություն</w:t>
            </w:r>
          </w:p>
        </w:tc>
        <w:tc>
          <w:tcPr>
            <w:tcW w:w="1440"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765.1</w:t>
            </w:r>
          </w:p>
        </w:tc>
        <w:tc>
          <w:tcPr>
            <w:tcW w:w="134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65.5</w:t>
            </w:r>
          </w:p>
        </w:tc>
        <w:tc>
          <w:tcPr>
            <w:tcW w:w="1225"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104.3</w:t>
            </w:r>
          </w:p>
        </w:tc>
        <w:tc>
          <w:tcPr>
            <w:tcW w:w="1865"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2.6</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A791E" w:rsidRPr="00E57C0E" w:rsidRDefault="00AA791E" w:rsidP="00AA791E">
            <w:pPr>
              <w:ind w:left="270" w:hanging="180"/>
              <w:rPr>
                <w:rFonts w:ascii="GHEA Grapalat" w:hAnsi="GHEA Grapalat"/>
                <w:b w:val="0"/>
                <w:sz w:val="20"/>
                <w:szCs w:val="20"/>
                <w:lang w:val="hy-AM"/>
              </w:rPr>
            </w:pPr>
            <w:r w:rsidRPr="00E57C0E">
              <w:rPr>
                <w:rFonts w:ascii="GHEA Grapalat" w:hAnsi="GHEA Grapalat"/>
                <w:b w:val="0"/>
                <w:sz w:val="20"/>
                <w:szCs w:val="20"/>
                <w:lang w:val="hy-AM"/>
              </w:rPr>
              <w:t xml:space="preserve"> էլեկտրաէներգիայի, գազի, գոլորշու և լավորակ օդի մատակարարում</w:t>
            </w:r>
          </w:p>
        </w:tc>
        <w:tc>
          <w:tcPr>
            <w:tcW w:w="1440"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159.7</w:t>
            </w:r>
          </w:p>
        </w:tc>
        <w:tc>
          <w:tcPr>
            <w:tcW w:w="134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13.7</w:t>
            </w:r>
          </w:p>
        </w:tc>
        <w:tc>
          <w:tcPr>
            <w:tcW w:w="1225"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100.2</w:t>
            </w:r>
          </w:p>
        </w:tc>
        <w:tc>
          <w:tcPr>
            <w:tcW w:w="1865"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0.0</w:t>
            </w:r>
          </w:p>
        </w:tc>
      </w:tr>
      <w:tr w:rsidR="00AA791E" w:rsidRPr="00E57C0E" w:rsidTr="00AA791E">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A791E" w:rsidRPr="00E57C0E" w:rsidRDefault="00AA791E" w:rsidP="00AA791E">
            <w:pPr>
              <w:ind w:left="270" w:hanging="180"/>
              <w:rPr>
                <w:rFonts w:ascii="GHEA Grapalat" w:hAnsi="GHEA Grapalat"/>
                <w:b w:val="0"/>
                <w:sz w:val="20"/>
                <w:szCs w:val="20"/>
                <w:lang w:val="hy-AM"/>
              </w:rPr>
            </w:pPr>
            <w:r w:rsidRPr="00E57C0E">
              <w:rPr>
                <w:rFonts w:ascii="GHEA Grapalat" w:hAnsi="GHEA Grapalat"/>
                <w:b w:val="0"/>
                <w:sz w:val="20"/>
                <w:szCs w:val="20"/>
                <w:lang w:val="hy-AM"/>
              </w:rPr>
              <w:t>ջրամատակարարում, կոյուղի, թափոնների կառավարում և վերամշակում</w:t>
            </w:r>
          </w:p>
        </w:tc>
        <w:tc>
          <w:tcPr>
            <w:tcW w:w="1440"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14.1</w:t>
            </w:r>
          </w:p>
        </w:tc>
        <w:tc>
          <w:tcPr>
            <w:tcW w:w="134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1.2</w:t>
            </w:r>
          </w:p>
        </w:tc>
        <w:tc>
          <w:tcPr>
            <w:tcW w:w="1225"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108.6</w:t>
            </w:r>
          </w:p>
        </w:tc>
        <w:tc>
          <w:tcPr>
            <w:tcW w:w="1865"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0.1</w:t>
            </w:r>
          </w:p>
        </w:tc>
      </w:tr>
    </w:tbl>
    <w:p w:rsidR="00AA791E" w:rsidRPr="00E57C0E" w:rsidRDefault="00AA791E" w:rsidP="00AA791E">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A791E" w:rsidRPr="00E57C0E" w:rsidTr="00AA791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00" w:firstLine="800"/>
              <w:rPr>
                <w:rFonts w:ascii="GHEA Grapalat" w:hAnsi="GHEA Grapalat"/>
                <w:sz w:val="20"/>
                <w:szCs w:val="20"/>
                <w:lang w:val="hy-AM"/>
              </w:rPr>
            </w:pPr>
            <w:r w:rsidRPr="00E57C0E">
              <w:rPr>
                <w:rFonts w:ascii="Calibri" w:hAnsi="Calibri" w:cs="Calibri"/>
                <w:sz w:val="20"/>
                <w:szCs w:val="20"/>
                <w:lang w:val="hy-AM"/>
              </w:rPr>
              <w:lastRenderedPageBreak/>
              <w:t> </w:t>
            </w:r>
          </w:p>
        </w:tc>
        <w:tc>
          <w:tcPr>
            <w:tcW w:w="144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Արժեք (մլրդ դրամ)</w:t>
            </w:r>
          </w:p>
        </w:tc>
        <w:tc>
          <w:tcPr>
            <w:tcW w:w="135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Կշիռը (%)</w:t>
            </w:r>
          </w:p>
        </w:tc>
        <w:tc>
          <w:tcPr>
            <w:tcW w:w="126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Աճի ինդեքս</w:t>
            </w:r>
          </w:p>
        </w:tc>
        <w:tc>
          <w:tcPr>
            <w:tcW w:w="1823"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Նպաստում (տոկոսային կետ)</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rPr>
                <w:rFonts w:ascii="GHEA Grapalat" w:hAnsi="GHEA Grapalat"/>
                <w:b w:val="0"/>
                <w:sz w:val="20"/>
                <w:szCs w:val="20"/>
                <w:lang w:val="hy-AM"/>
              </w:rPr>
            </w:pPr>
            <w:r w:rsidRPr="00E57C0E">
              <w:rPr>
                <w:rFonts w:ascii="GHEA Grapalat" w:hAnsi="GHEA Grapalat"/>
                <w:b w:val="0"/>
                <w:sz w:val="20"/>
                <w:szCs w:val="20"/>
                <w:lang w:val="hy-AM"/>
              </w:rPr>
              <w:t>Գյուղատնտեսություն, անտառային տնտեսություն և ձկնորսություն</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307.2</w:t>
            </w:r>
          </w:p>
        </w:tc>
        <w:tc>
          <w:tcPr>
            <w:tcW w:w="135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100.0</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101.6</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1.6</w:t>
            </w:r>
          </w:p>
        </w:tc>
      </w:tr>
      <w:tr w:rsidR="00AA791E" w:rsidRPr="00E57C0E" w:rsidTr="00AA791E">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jc w:val="right"/>
              <w:rPr>
                <w:rFonts w:ascii="GHEA Grapalat" w:hAnsi="GHEA Grapalat"/>
                <w:b w:val="0"/>
                <w:sz w:val="20"/>
                <w:szCs w:val="20"/>
                <w:lang w:val="hy-AM"/>
              </w:rPr>
            </w:pPr>
            <w:r w:rsidRPr="00E57C0E">
              <w:rPr>
                <w:rFonts w:ascii="GHEA Grapalat" w:hAnsi="GHEA Grapalat"/>
                <w:b w:val="0"/>
                <w:i/>
                <w:iCs/>
                <w:sz w:val="20"/>
                <w:szCs w:val="20"/>
                <w:lang w:val="hy-AM"/>
              </w:rPr>
              <w:t>այդ թվում`</w:t>
            </w:r>
          </w:p>
        </w:tc>
        <w:tc>
          <w:tcPr>
            <w:tcW w:w="1440"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5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բուսաբուծություն</w:t>
            </w:r>
          </w:p>
        </w:tc>
        <w:tc>
          <w:tcPr>
            <w:tcW w:w="1440"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103.6</w:t>
            </w:r>
          </w:p>
        </w:tc>
        <w:tc>
          <w:tcPr>
            <w:tcW w:w="135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33.7</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110.4</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3.9</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անասնաբուծություն</w:t>
            </w:r>
          </w:p>
        </w:tc>
        <w:tc>
          <w:tcPr>
            <w:tcW w:w="1440"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175.0</w:t>
            </w:r>
          </w:p>
        </w:tc>
        <w:tc>
          <w:tcPr>
            <w:tcW w:w="135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57.0</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96.1</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-2.1</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անտառային տնտեսություն</w:t>
            </w:r>
          </w:p>
        </w:tc>
        <w:tc>
          <w:tcPr>
            <w:tcW w:w="1440"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0.9</w:t>
            </w:r>
          </w:p>
        </w:tc>
        <w:tc>
          <w:tcPr>
            <w:tcW w:w="135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0.3</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127.3</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0.06</w:t>
            </w:r>
          </w:p>
        </w:tc>
      </w:tr>
      <w:tr w:rsidR="00AA791E" w:rsidRPr="00E57C0E" w:rsidTr="00AA791E">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ձկնորսություն</w:t>
            </w:r>
          </w:p>
        </w:tc>
        <w:tc>
          <w:tcPr>
            <w:tcW w:w="1440"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27.7</w:t>
            </w:r>
          </w:p>
        </w:tc>
        <w:tc>
          <w:tcPr>
            <w:tcW w:w="135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9.0</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97.1</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-0.3</w:t>
            </w:r>
          </w:p>
        </w:tc>
      </w:tr>
    </w:tbl>
    <w:p w:rsidR="00AA791E" w:rsidRPr="00E57C0E" w:rsidRDefault="00AA791E" w:rsidP="00AA791E">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A791E" w:rsidRPr="00E57C0E" w:rsidTr="00AA791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jc w:val="center"/>
              <w:rPr>
                <w:rFonts w:ascii="GHEA Grapalat" w:hAnsi="GHEA Grapalat"/>
                <w:i/>
                <w:iCs/>
                <w:sz w:val="20"/>
                <w:szCs w:val="20"/>
                <w:lang w:val="hy-AM"/>
              </w:rPr>
            </w:pPr>
            <w:r w:rsidRPr="00E57C0E">
              <w:rPr>
                <w:rFonts w:ascii="GHEA Grapalat" w:hAnsi="GHEA Grapalat"/>
                <w:i/>
                <w:iCs/>
                <w:sz w:val="20"/>
                <w:szCs w:val="20"/>
                <w:lang w:val="hy-AM"/>
              </w:rPr>
              <w:t>ըստ ֆինանսավորման աղբյուրների</w:t>
            </w:r>
          </w:p>
        </w:tc>
        <w:tc>
          <w:tcPr>
            <w:tcW w:w="144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Արժեք (մլրդ դրամ)</w:t>
            </w:r>
          </w:p>
        </w:tc>
        <w:tc>
          <w:tcPr>
            <w:tcW w:w="135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Կշիռը (%)</w:t>
            </w:r>
          </w:p>
        </w:tc>
        <w:tc>
          <w:tcPr>
            <w:tcW w:w="126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Աճի ինդեքս</w:t>
            </w:r>
          </w:p>
        </w:tc>
        <w:tc>
          <w:tcPr>
            <w:tcW w:w="1823"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Նպաստում (տոկոսային կետ)</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rPr>
                <w:rFonts w:ascii="GHEA Grapalat" w:hAnsi="GHEA Grapalat"/>
                <w:b w:val="0"/>
                <w:sz w:val="20"/>
                <w:szCs w:val="20"/>
                <w:lang w:val="hy-AM"/>
              </w:rPr>
            </w:pPr>
            <w:r w:rsidRPr="00E57C0E">
              <w:rPr>
                <w:rFonts w:ascii="GHEA Grapalat" w:hAnsi="GHEA Grapalat"/>
                <w:b w:val="0"/>
                <w:sz w:val="20"/>
                <w:szCs w:val="20"/>
                <w:lang w:val="hy-AM"/>
              </w:rPr>
              <w:t>Շինարարություն</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E57C0E">
              <w:rPr>
                <w:rFonts w:ascii="GHEA Grapalat" w:hAnsi="GHEA Grapalat"/>
                <w:b/>
                <w:bCs/>
                <w:sz w:val="20"/>
                <w:szCs w:val="20"/>
                <w:lang w:val="hy-AM"/>
              </w:rPr>
              <w:t>174.2</w:t>
            </w:r>
          </w:p>
        </w:tc>
        <w:tc>
          <w:tcPr>
            <w:tcW w:w="135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E57C0E">
              <w:rPr>
                <w:rFonts w:ascii="GHEA Grapalat" w:hAnsi="GHEA Grapalat"/>
                <w:b/>
                <w:bCs/>
                <w:sz w:val="20"/>
                <w:szCs w:val="20"/>
                <w:lang w:val="hy-AM"/>
              </w:rPr>
              <w:t>100.0</w:t>
            </w:r>
          </w:p>
        </w:tc>
        <w:tc>
          <w:tcPr>
            <w:tcW w:w="126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E57C0E">
              <w:rPr>
                <w:rFonts w:ascii="GHEA Grapalat" w:hAnsi="GHEA Grapalat"/>
                <w:b/>
                <w:bCs/>
                <w:sz w:val="20"/>
                <w:szCs w:val="20"/>
                <w:lang w:val="hy-AM"/>
              </w:rPr>
              <w:t>117.0</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E57C0E">
              <w:rPr>
                <w:rFonts w:ascii="GHEA Grapalat" w:hAnsi="GHEA Grapalat"/>
                <w:b/>
                <w:bCs/>
                <w:sz w:val="20"/>
                <w:szCs w:val="20"/>
                <w:lang w:val="hy-AM"/>
              </w:rPr>
              <w:t>17.0</w:t>
            </w:r>
          </w:p>
        </w:tc>
      </w:tr>
      <w:tr w:rsidR="00AA791E" w:rsidRPr="00E57C0E" w:rsidTr="00AA791E">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jc w:val="right"/>
              <w:rPr>
                <w:rFonts w:ascii="GHEA Grapalat" w:hAnsi="GHEA Grapalat"/>
                <w:b w:val="0"/>
                <w:sz w:val="20"/>
                <w:szCs w:val="20"/>
                <w:lang w:val="hy-AM"/>
              </w:rPr>
            </w:pPr>
            <w:r w:rsidRPr="00E57C0E">
              <w:rPr>
                <w:rFonts w:ascii="Calibri" w:hAnsi="Calibri" w:cs="Calibri"/>
                <w:b w:val="0"/>
                <w:sz w:val="20"/>
                <w:szCs w:val="20"/>
                <w:lang w:val="hy-AM"/>
              </w:rPr>
              <w:t> </w:t>
            </w:r>
            <w:r w:rsidRPr="00E57C0E">
              <w:rPr>
                <w:rFonts w:ascii="GHEA Grapalat" w:hAnsi="GHEA Grapalat"/>
                <w:b w:val="0"/>
                <w:i/>
                <w:iCs/>
                <w:sz w:val="20"/>
                <w:szCs w:val="20"/>
                <w:lang w:val="hy-AM"/>
              </w:rPr>
              <w:t>այդ թվում`</w:t>
            </w:r>
          </w:p>
        </w:tc>
        <w:tc>
          <w:tcPr>
            <w:tcW w:w="144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35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26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823"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 xml:space="preserve">պետական բյուջեի, </w:t>
            </w:r>
            <w:r w:rsidRPr="00E57C0E">
              <w:rPr>
                <w:rFonts w:ascii="GHEA Grapalat" w:hAnsi="GHEA Grapalat"/>
                <w:b w:val="0"/>
                <w:i/>
                <w:sz w:val="20"/>
                <w:szCs w:val="20"/>
                <w:lang w:val="hy-AM"/>
              </w:rPr>
              <w:t>այդ թվում՝</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26.8</w:t>
            </w:r>
          </w:p>
        </w:tc>
        <w:tc>
          <w:tcPr>
            <w:tcW w:w="135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15.4</w:t>
            </w:r>
          </w:p>
        </w:tc>
        <w:tc>
          <w:tcPr>
            <w:tcW w:w="126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71.5</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-7.2</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jc w:val="center"/>
              <w:rPr>
                <w:rFonts w:ascii="GHEA Grapalat" w:hAnsi="GHEA Grapalat"/>
                <w:b w:val="0"/>
                <w:i/>
                <w:iCs/>
                <w:sz w:val="20"/>
                <w:szCs w:val="20"/>
                <w:lang w:val="hy-AM"/>
              </w:rPr>
            </w:pPr>
            <w:r w:rsidRPr="00E57C0E">
              <w:rPr>
                <w:rFonts w:ascii="GHEA Grapalat" w:hAnsi="GHEA Grapalat"/>
                <w:b w:val="0"/>
                <w:i/>
                <w:iCs/>
                <w:sz w:val="20"/>
                <w:szCs w:val="20"/>
                <w:lang w:val="hy-AM"/>
              </w:rPr>
              <w:t>միջազգային վարկերի</w:t>
            </w:r>
          </w:p>
        </w:tc>
        <w:tc>
          <w:tcPr>
            <w:tcW w:w="1440"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7.2</w:t>
            </w:r>
          </w:p>
        </w:tc>
        <w:tc>
          <w:tcPr>
            <w:tcW w:w="135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4.1</w:t>
            </w:r>
          </w:p>
        </w:tc>
        <w:tc>
          <w:tcPr>
            <w:tcW w:w="126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51.0</w:t>
            </w:r>
          </w:p>
        </w:tc>
        <w:tc>
          <w:tcPr>
            <w:tcW w:w="1823"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-4.6</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համայնքների միջոցների</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8.8</w:t>
            </w:r>
          </w:p>
        </w:tc>
        <w:tc>
          <w:tcPr>
            <w:tcW w:w="135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5.1</w:t>
            </w:r>
          </w:p>
        </w:tc>
        <w:tc>
          <w:tcPr>
            <w:tcW w:w="126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160.6</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2.2</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մարդասիրական օգնության միջոցների</w:t>
            </w:r>
          </w:p>
        </w:tc>
        <w:tc>
          <w:tcPr>
            <w:tcW w:w="1440"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2.3</w:t>
            </w:r>
          </w:p>
        </w:tc>
        <w:tc>
          <w:tcPr>
            <w:tcW w:w="135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1.3</w:t>
            </w:r>
          </w:p>
        </w:tc>
        <w:tc>
          <w:tcPr>
            <w:tcW w:w="126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153.6</w:t>
            </w:r>
          </w:p>
        </w:tc>
        <w:tc>
          <w:tcPr>
            <w:tcW w:w="1823"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0.5</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 xml:space="preserve">կազմակերպությունների միջոցների, </w:t>
            </w:r>
            <w:r w:rsidRPr="00E57C0E">
              <w:rPr>
                <w:rFonts w:ascii="GHEA Grapalat" w:hAnsi="GHEA Grapalat"/>
                <w:b w:val="0"/>
                <w:i/>
                <w:sz w:val="20"/>
                <w:szCs w:val="20"/>
                <w:lang w:val="hy-AM"/>
              </w:rPr>
              <w:t>այդ թվում՝</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101.9</w:t>
            </w:r>
          </w:p>
        </w:tc>
        <w:tc>
          <w:tcPr>
            <w:tcW w:w="135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58.5</w:t>
            </w:r>
          </w:p>
        </w:tc>
        <w:tc>
          <w:tcPr>
            <w:tcW w:w="126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147.9</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22.2</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8B7237" w:rsidP="00AA791E">
            <w:pPr>
              <w:ind w:firstLineChars="45" w:firstLine="90"/>
              <w:jc w:val="center"/>
              <w:rPr>
                <w:rFonts w:ascii="GHEA Grapalat" w:hAnsi="GHEA Grapalat"/>
                <w:b w:val="0"/>
                <w:i/>
                <w:iCs/>
                <w:sz w:val="20"/>
                <w:szCs w:val="20"/>
                <w:lang w:val="hy-AM"/>
              </w:rPr>
            </w:pPr>
            <w:r w:rsidRPr="00E57C0E">
              <w:rPr>
                <w:rFonts w:ascii="GHEA Grapalat" w:hAnsi="GHEA Grapalat"/>
                <w:b w:val="0"/>
                <w:i/>
                <w:iCs/>
                <w:sz w:val="20"/>
                <w:szCs w:val="20"/>
                <w:lang w:val="hy-AM"/>
              </w:rPr>
              <w:t xml:space="preserve"> </w:t>
            </w:r>
            <w:r w:rsidR="00AA791E" w:rsidRPr="00E57C0E">
              <w:rPr>
                <w:rFonts w:ascii="GHEA Grapalat" w:hAnsi="GHEA Grapalat"/>
                <w:b w:val="0"/>
                <w:i/>
                <w:iCs/>
                <w:sz w:val="20"/>
                <w:szCs w:val="20"/>
                <w:lang w:val="hy-AM"/>
              </w:rPr>
              <w:t>օտարերկրյա ներդրողների</w:t>
            </w:r>
          </w:p>
        </w:tc>
        <w:tc>
          <w:tcPr>
            <w:tcW w:w="1440"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1.8</w:t>
            </w:r>
          </w:p>
        </w:tc>
        <w:tc>
          <w:tcPr>
            <w:tcW w:w="135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1.0</w:t>
            </w:r>
          </w:p>
        </w:tc>
        <w:tc>
          <w:tcPr>
            <w:tcW w:w="1260"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35.8</w:t>
            </w:r>
          </w:p>
        </w:tc>
        <w:tc>
          <w:tcPr>
            <w:tcW w:w="1823"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-2.1</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5" w:firstLine="90"/>
              <w:rPr>
                <w:rFonts w:ascii="GHEA Grapalat" w:hAnsi="GHEA Grapalat"/>
                <w:b w:val="0"/>
                <w:sz w:val="20"/>
                <w:szCs w:val="20"/>
                <w:lang w:val="hy-AM"/>
              </w:rPr>
            </w:pPr>
            <w:r w:rsidRPr="00E57C0E">
              <w:rPr>
                <w:rFonts w:ascii="GHEA Grapalat" w:hAnsi="GHEA Grapalat"/>
                <w:b w:val="0"/>
                <w:sz w:val="20"/>
                <w:szCs w:val="20"/>
                <w:lang w:val="hy-AM"/>
              </w:rPr>
              <w:t>բնակչության միջոցների</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34.4</w:t>
            </w:r>
          </w:p>
        </w:tc>
        <w:tc>
          <w:tcPr>
            <w:tcW w:w="135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19.7</w:t>
            </w:r>
          </w:p>
        </w:tc>
        <w:tc>
          <w:tcPr>
            <w:tcW w:w="1260"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96.7</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E57C0E">
              <w:rPr>
                <w:rFonts w:ascii="GHEA Grapalat" w:hAnsi="GHEA Grapalat"/>
                <w:bCs/>
                <w:sz w:val="20"/>
                <w:szCs w:val="20"/>
                <w:lang w:val="hy-AM"/>
              </w:rPr>
              <w:t>-0.8</w:t>
            </w:r>
          </w:p>
        </w:tc>
      </w:tr>
    </w:tbl>
    <w:p w:rsidR="00AA791E" w:rsidRPr="00E57C0E" w:rsidRDefault="00AA791E" w:rsidP="00AA791E">
      <w:pPr>
        <w:rPr>
          <w:rFonts w:ascii="GHEA Grapalat" w:hAnsi="GHEA Grapalat" w:cs="Arial"/>
          <w:b/>
          <w:sz w:val="20"/>
          <w:szCs w:val="20"/>
        </w:rPr>
      </w:pPr>
    </w:p>
    <w:p w:rsidR="00AA791E" w:rsidRPr="00E57C0E" w:rsidRDefault="00AA791E" w:rsidP="00AA791E">
      <w:pPr>
        <w:rPr>
          <w:rFonts w:ascii="GHEA Grapalat" w:hAnsi="GHEA Grapalat" w:cs="Arial"/>
          <w:b/>
          <w:sz w:val="20"/>
          <w:szCs w:val="20"/>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AA791E" w:rsidRPr="00E57C0E" w:rsidTr="00AA791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400" w:firstLine="800"/>
              <w:rPr>
                <w:rFonts w:ascii="GHEA Grapalat" w:hAnsi="GHEA Grapalat"/>
                <w:sz w:val="20"/>
                <w:szCs w:val="20"/>
                <w:lang w:val="hy-AM"/>
              </w:rPr>
            </w:pPr>
            <w:r w:rsidRPr="00E57C0E">
              <w:rPr>
                <w:rFonts w:ascii="Calibri" w:hAnsi="Calibri" w:cs="Calibri"/>
                <w:sz w:val="20"/>
                <w:szCs w:val="20"/>
                <w:lang w:val="hy-AM"/>
              </w:rPr>
              <w:t> </w:t>
            </w:r>
          </w:p>
        </w:tc>
        <w:tc>
          <w:tcPr>
            <w:tcW w:w="144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Արժեք (մլրդ</w:t>
            </w:r>
            <w:r w:rsidR="008B7237" w:rsidRPr="00E57C0E">
              <w:rPr>
                <w:rFonts w:ascii="GHEA Grapalat" w:hAnsi="GHEA Grapalat"/>
                <w:sz w:val="20"/>
                <w:szCs w:val="20"/>
                <w:lang w:val="hy-AM"/>
              </w:rPr>
              <w:t xml:space="preserve"> </w:t>
            </w:r>
            <w:r w:rsidRPr="00E57C0E">
              <w:rPr>
                <w:rFonts w:ascii="GHEA Grapalat" w:hAnsi="GHEA Grapalat"/>
                <w:sz w:val="20"/>
                <w:szCs w:val="20"/>
                <w:lang w:val="hy-AM"/>
              </w:rPr>
              <w:t>դրամ)</w:t>
            </w:r>
          </w:p>
        </w:tc>
        <w:tc>
          <w:tcPr>
            <w:tcW w:w="1394"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Կշիռը (%)</w:t>
            </w:r>
          </w:p>
        </w:tc>
        <w:tc>
          <w:tcPr>
            <w:tcW w:w="1216"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Աճի ինդեքս</w:t>
            </w:r>
          </w:p>
        </w:tc>
        <w:tc>
          <w:tcPr>
            <w:tcW w:w="1823"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Նպաստում (տոկոսային կետ)</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rPr>
                <w:rFonts w:ascii="GHEA Grapalat" w:hAnsi="GHEA Grapalat"/>
                <w:b w:val="0"/>
                <w:sz w:val="20"/>
                <w:szCs w:val="20"/>
                <w:lang w:val="hy-AM"/>
              </w:rPr>
            </w:pPr>
            <w:r w:rsidRPr="00E57C0E">
              <w:rPr>
                <w:rFonts w:ascii="GHEA Grapalat" w:hAnsi="GHEA Grapalat"/>
                <w:b w:val="0"/>
                <w:sz w:val="20"/>
                <w:szCs w:val="20"/>
                <w:lang w:val="hy-AM"/>
              </w:rPr>
              <w:t>Առևտուր</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2280.9</w:t>
            </w:r>
          </w:p>
        </w:tc>
        <w:tc>
          <w:tcPr>
            <w:tcW w:w="1394"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100.0</w:t>
            </w:r>
          </w:p>
        </w:tc>
        <w:tc>
          <w:tcPr>
            <w:tcW w:w="1216"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123.6</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23.6</w:t>
            </w:r>
          </w:p>
        </w:tc>
      </w:tr>
      <w:tr w:rsidR="00AA791E" w:rsidRPr="00E57C0E" w:rsidTr="00AA791E">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jc w:val="right"/>
              <w:rPr>
                <w:rFonts w:ascii="GHEA Grapalat" w:hAnsi="GHEA Grapalat"/>
                <w:b w:val="0"/>
                <w:sz w:val="20"/>
                <w:szCs w:val="20"/>
                <w:lang w:val="hy-AM"/>
              </w:rPr>
            </w:pPr>
            <w:r w:rsidRPr="00E57C0E">
              <w:rPr>
                <w:rFonts w:ascii="Calibri" w:hAnsi="Calibri" w:cs="Calibri"/>
                <w:b w:val="0"/>
                <w:sz w:val="20"/>
                <w:szCs w:val="20"/>
                <w:lang w:val="hy-AM"/>
              </w:rPr>
              <w:t> </w:t>
            </w:r>
            <w:r w:rsidRPr="00E57C0E">
              <w:rPr>
                <w:rFonts w:ascii="GHEA Grapalat" w:hAnsi="GHEA Grapalat"/>
                <w:b w:val="0"/>
                <w:i/>
                <w:iCs/>
                <w:sz w:val="20"/>
                <w:szCs w:val="20"/>
                <w:lang w:val="hy-AM"/>
              </w:rPr>
              <w:t>այդ թվում`</w:t>
            </w:r>
          </w:p>
        </w:tc>
        <w:tc>
          <w:tcPr>
            <w:tcW w:w="1440"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94"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16"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200" w:firstLine="400"/>
              <w:rPr>
                <w:rFonts w:ascii="GHEA Grapalat" w:hAnsi="GHEA Grapalat"/>
                <w:b w:val="0"/>
                <w:sz w:val="20"/>
                <w:szCs w:val="20"/>
                <w:lang w:val="hy-AM"/>
              </w:rPr>
            </w:pPr>
            <w:r w:rsidRPr="00E57C0E">
              <w:rPr>
                <w:rFonts w:ascii="GHEA Grapalat" w:hAnsi="GHEA Grapalat"/>
                <w:b w:val="0"/>
                <w:sz w:val="20"/>
                <w:szCs w:val="20"/>
                <w:lang w:val="hy-AM"/>
              </w:rPr>
              <w:t>մանրածախ առևտուր</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770.8</w:t>
            </w:r>
          </w:p>
        </w:tc>
        <w:tc>
          <w:tcPr>
            <w:tcW w:w="1394"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33.8</w:t>
            </w:r>
          </w:p>
        </w:tc>
        <w:tc>
          <w:tcPr>
            <w:tcW w:w="1216"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105.2</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2.1</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200" w:firstLine="400"/>
              <w:rPr>
                <w:rFonts w:ascii="GHEA Grapalat" w:hAnsi="GHEA Grapalat"/>
                <w:b w:val="0"/>
                <w:sz w:val="20"/>
                <w:szCs w:val="20"/>
                <w:lang w:val="hy-AM"/>
              </w:rPr>
            </w:pPr>
            <w:r w:rsidRPr="00E57C0E">
              <w:rPr>
                <w:rFonts w:ascii="GHEA Grapalat" w:hAnsi="GHEA Grapalat"/>
                <w:b w:val="0"/>
                <w:sz w:val="20"/>
                <w:szCs w:val="20"/>
                <w:lang w:val="hy-AM"/>
              </w:rPr>
              <w:t>մեծածախ առևտուր</w:t>
            </w:r>
          </w:p>
        </w:tc>
        <w:tc>
          <w:tcPr>
            <w:tcW w:w="1440"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1394.2</w:t>
            </w:r>
          </w:p>
        </w:tc>
        <w:tc>
          <w:tcPr>
            <w:tcW w:w="1394"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61.1</w:t>
            </w:r>
          </w:p>
        </w:tc>
        <w:tc>
          <w:tcPr>
            <w:tcW w:w="1216" w:type="dxa"/>
            <w:noWrap/>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134.2</w:t>
            </w:r>
          </w:p>
        </w:tc>
        <w:tc>
          <w:tcPr>
            <w:tcW w:w="1823" w:type="dxa"/>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19.2</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A791E" w:rsidRPr="00E57C0E" w:rsidRDefault="00AA791E" w:rsidP="00AA791E">
            <w:pPr>
              <w:ind w:firstLineChars="200" w:firstLine="400"/>
              <w:rPr>
                <w:rFonts w:ascii="GHEA Grapalat" w:hAnsi="GHEA Grapalat"/>
                <w:b w:val="0"/>
                <w:sz w:val="20"/>
                <w:szCs w:val="20"/>
                <w:lang w:val="hy-AM"/>
              </w:rPr>
            </w:pPr>
            <w:r w:rsidRPr="00E57C0E">
              <w:rPr>
                <w:rFonts w:ascii="GHEA Grapalat" w:hAnsi="GHEA Grapalat"/>
                <w:b w:val="0"/>
                <w:sz w:val="20"/>
                <w:szCs w:val="20"/>
                <w:lang w:val="hy-AM"/>
              </w:rPr>
              <w:t>ավտոմեքենաների առևտուր</w:t>
            </w:r>
          </w:p>
        </w:tc>
        <w:tc>
          <w:tcPr>
            <w:tcW w:w="1440"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115.8</w:t>
            </w:r>
          </w:p>
        </w:tc>
        <w:tc>
          <w:tcPr>
            <w:tcW w:w="1394" w:type="dxa"/>
            <w:noWrap/>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5.1</w:t>
            </w:r>
          </w:p>
        </w:tc>
        <w:tc>
          <w:tcPr>
            <w:tcW w:w="1216"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161.5</w:t>
            </w:r>
          </w:p>
        </w:tc>
        <w:tc>
          <w:tcPr>
            <w:tcW w:w="1823" w:type="dxa"/>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2.3</w:t>
            </w:r>
          </w:p>
        </w:tc>
      </w:tr>
    </w:tbl>
    <w:p w:rsidR="00AA791E" w:rsidRPr="00E57C0E" w:rsidRDefault="00AA791E" w:rsidP="00AA791E">
      <w:pPr>
        <w:rPr>
          <w:rFonts w:ascii="GHEA Grapalat" w:hAnsi="GHEA Grapalat"/>
          <w:b/>
          <w:sz w:val="20"/>
          <w:szCs w:val="20"/>
        </w:rPr>
      </w:pPr>
    </w:p>
    <w:p w:rsidR="00AA791E" w:rsidRPr="00E57C0E" w:rsidRDefault="00AA791E" w:rsidP="00AA791E">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AA791E" w:rsidRPr="00E57C0E" w:rsidTr="00AA791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AA791E" w:rsidRPr="00E57C0E" w:rsidRDefault="00AA791E" w:rsidP="00AA791E">
            <w:pPr>
              <w:rPr>
                <w:rFonts w:ascii="GHEA Grapalat" w:hAnsi="GHEA Grapalat"/>
                <w:sz w:val="20"/>
                <w:szCs w:val="20"/>
                <w:lang w:val="hy-AM"/>
              </w:rPr>
            </w:pPr>
            <w:r w:rsidRPr="00E57C0E">
              <w:rPr>
                <w:rFonts w:ascii="Calibri" w:hAnsi="Calibri" w:cs="Calibri"/>
                <w:sz w:val="20"/>
                <w:szCs w:val="20"/>
                <w:lang w:val="hy-AM"/>
              </w:rPr>
              <w:t> </w:t>
            </w:r>
          </w:p>
        </w:tc>
        <w:tc>
          <w:tcPr>
            <w:tcW w:w="144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Արժեք (մլրդ դրամ)</w:t>
            </w:r>
          </w:p>
        </w:tc>
        <w:tc>
          <w:tcPr>
            <w:tcW w:w="126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Կշիռը (%)</w:t>
            </w:r>
          </w:p>
        </w:tc>
        <w:tc>
          <w:tcPr>
            <w:tcW w:w="1260"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Աճի ինդեքս</w:t>
            </w:r>
          </w:p>
        </w:tc>
        <w:tc>
          <w:tcPr>
            <w:tcW w:w="1823" w:type="dxa"/>
            <w:vAlign w:val="center"/>
            <w:hideMark/>
          </w:tcPr>
          <w:p w:rsidR="00AA791E" w:rsidRPr="00E57C0E" w:rsidRDefault="00AA791E" w:rsidP="00AA791E">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Նպաստում (տոկոսային կետ)</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A791E" w:rsidRPr="00E57C0E" w:rsidRDefault="00AA791E" w:rsidP="00AA791E">
            <w:pPr>
              <w:rPr>
                <w:rFonts w:ascii="GHEA Grapalat" w:hAnsi="GHEA Grapalat"/>
                <w:b w:val="0"/>
                <w:sz w:val="20"/>
                <w:szCs w:val="20"/>
                <w:lang w:val="hy-AM"/>
              </w:rPr>
            </w:pPr>
            <w:r w:rsidRPr="00E57C0E">
              <w:rPr>
                <w:rFonts w:ascii="GHEA Grapalat" w:hAnsi="GHEA Grapalat"/>
                <w:b w:val="0"/>
                <w:sz w:val="20"/>
                <w:szCs w:val="20"/>
                <w:lang w:val="hy-AM"/>
              </w:rPr>
              <w:t>Ծառայություններ</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1431.3</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100.0</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116.8</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E57C0E">
              <w:rPr>
                <w:rFonts w:ascii="GHEA Grapalat" w:hAnsi="GHEA Grapalat"/>
                <w:b/>
                <w:sz w:val="20"/>
                <w:szCs w:val="20"/>
                <w:lang w:val="hy-AM"/>
              </w:rPr>
              <w:t>16.8</w:t>
            </w:r>
          </w:p>
        </w:tc>
      </w:tr>
      <w:tr w:rsidR="00AA791E" w:rsidRPr="00E57C0E" w:rsidTr="00AA791E">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A791E" w:rsidRPr="00E57C0E" w:rsidRDefault="00AA791E" w:rsidP="00AA791E">
            <w:pPr>
              <w:rPr>
                <w:rFonts w:ascii="GHEA Grapalat" w:hAnsi="GHEA Grapalat"/>
                <w:b w:val="0"/>
                <w:sz w:val="20"/>
                <w:szCs w:val="20"/>
                <w:lang w:val="hy-AM"/>
              </w:rPr>
            </w:pPr>
            <w:r w:rsidRPr="00E57C0E">
              <w:rPr>
                <w:rFonts w:ascii="Calibri" w:hAnsi="Calibri" w:cs="Calibri"/>
                <w:b w:val="0"/>
                <w:sz w:val="20"/>
                <w:szCs w:val="20"/>
                <w:lang w:val="hy-AM"/>
              </w:rPr>
              <w:t> </w:t>
            </w:r>
            <w:r w:rsidRPr="00E57C0E">
              <w:rPr>
                <w:rFonts w:ascii="GHEA Grapalat" w:hAnsi="GHEA Grapalat"/>
                <w:b w:val="0"/>
                <w:i/>
                <w:iCs/>
                <w:sz w:val="20"/>
                <w:szCs w:val="20"/>
                <w:lang w:val="hy-AM"/>
              </w:rPr>
              <w:t>այդ թվում`</w:t>
            </w:r>
          </w:p>
        </w:tc>
        <w:tc>
          <w:tcPr>
            <w:tcW w:w="144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141.7</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9.9</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123.8</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2.2</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մշակույթ, զվարճություններ և հանգիստ</w:t>
            </w:r>
          </w:p>
        </w:tc>
        <w:tc>
          <w:tcPr>
            <w:tcW w:w="144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133.6</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9.3</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106.2</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0.7</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 xml:space="preserve">կրթություն </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36.7</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2.6</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111.7</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0.3</w:t>
            </w:r>
          </w:p>
        </w:tc>
      </w:tr>
      <w:tr w:rsidR="00AA791E" w:rsidRPr="00E57C0E" w:rsidTr="00AA791E">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68.7</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4.8</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104.1</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0.2</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անշարժ գույքի հետ կապված գործունեություն</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56.6</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4.0</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100.4</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0.0</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 xml:space="preserve">տեղեկատվություն և կապ </w:t>
            </w:r>
          </w:p>
        </w:tc>
        <w:tc>
          <w:tcPr>
            <w:tcW w:w="144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303.5</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21.2</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156.8</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9.7</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 xml:space="preserve">տրանսպորտ </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191.3</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13.4</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134.5</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4.1</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lastRenderedPageBreak/>
              <w:t>վարչարարական և օժանդակ գործունեություն</w:t>
            </w:r>
          </w:p>
        </w:tc>
        <w:tc>
          <w:tcPr>
            <w:tcW w:w="144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42.9</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3.0</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103.9</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0.1</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63.4</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4.4</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110.4</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0.5</w:t>
            </w:r>
          </w:p>
        </w:tc>
      </w:tr>
      <w:tr w:rsidR="00AA791E" w:rsidRPr="00E57C0E" w:rsidTr="00AA791E">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ֆինանսական և ապահովագրական գործունեություն</w:t>
            </w:r>
          </w:p>
        </w:tc>
        <w:tc>
          <w:tcPr>
            <w:tcW w:w="144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380.9</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26.6</w:t>
            </w:r>
          </w:p>
        </w:tc>
        <w:tc>
          <w:tcPr>
            <w:tcW w:w="1260" w:type="dxa"/>
            <w:noWrap/>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96.5</w:t>
            </w:r>
          </w:p>
        </w:tc>
        <w:tc>
          <w:tcPr>
            <w:tcW w:w="1823" w:type="dxa"/>
            <w:vAlign w:val="center"/>
          </w:tcPr>
          <w:p w:rsidR="00AA791E" w:rsidRPr="00E57C0E" w:rsidRDefault="00AA791E" w:rsidP="00AA791E">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-1.1</w:t>
            </w:r>
          </w:p>
        </w:tc>
      </w:tr>
      <w:tr w:rsidR="00AA791E" w:rsidRPr="00E57C0E" w:rsidTr="00AA79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AA791E" w:rsidRPr="00E57C0E" w:rsidRDefault="00AA791E" w:rsidP="00AA791E">
            <w:pPr>
              <w:ind w:leftChars="82" w:left="377" w:hangingChars="90" w:hanging="180"/>
              <w:rPr>
                <w:rFonts w:ascii="GHEA Grapalat" w:hAnsi="GHEA Grapalat"/>
                <w:b w:val="0"/>
                <w:sz w:val="20"/>
                <w:szCs w:val="20"/>
                <w:lang w:val="hy-AM"/>
              </w:rPr>
            </w:pPr>
            <w:r w:rsidRPr="00E57C0E">
              <w:rPr>
                <w:rFonts w:ascii="GHEA Grapalat" w:hAnsi="GHEA Grapalat"/>
                <w:b w:val="0"/>
                <w:sz w:val="20"/>
                <w:szCs w:val="20"/>
                <w:lang w:val="hy-AM"/>
              </w:rPr>
              <w:t>սպասարկման այլ ծառայություններ</w:t>
            </w:r>
          </w:p>
        </w:tc>
        <w:tc>
          <w:tcPr>
            <w:tcW w:w="144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12.0</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0.8</w:t>
            </w:r>
          </w:p>
        </w:tc>
        <w:tc>
          <w:tcPr>
            <w:tcW w:w="1260" w:type="dxa"/>
            <w:noWrap/>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106.2</w:t>
            </w:r>
          </w:p>
        </w:tc>
        <w:tc>
          <w:tcPr>
            <w:tcW w:w="1823" w:type="dxa"/>
            <w:vAlign w:val="center"/>
          </w:tcPr>
          <w:p w:rsidR="00AA791E" w:rsidRPr="00E57C0E" w:rsidRDefault="00AA791E" w:rsidP="00AA791E">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E57C0E">
              <w:rPr>
                <w:rFonts w:ascii="GHEA Grapalat" w:hAnsi="GHEA Grapalat"/>
                <w:sz w:val="20"/>
                <w:szCs w:val="20"/>
                <w:lang w:val="hy-AM"/>
              </w:rPr>
              <w:t>0.1</w:t>
            </w:r>
          </w:p>
        </w:tc>
      </w:tr>
    </w:tbl>
    <w:p w:rsidR="00262F9B" w:rsidRPr="00E57C0E" w:rsidRDefault="00262F9B" w:rsidP="00262F9B">
      <w:pPr>
        <w:jc w:val="center"/>
        <w:rPr>
          <w:rFonts w:ascii="GHEA Grapalat" w:hAnsi="GHEA Grapalat"/>
          <w:sz w:val="22"/>
          <w:szCs w:val="20"/>
          <w:lang w:val="hy-AM"/>
        </w:rPr>
      </w:pPr>
    </w:p>
    <w:bookmarkEnd w:id="33"/>
    <w:p w:rsidR="00262F9B" w:rsidRPr="00E57C0E" w:rsidRDefault="00262F9B" w:rsidP="00262F9B">
      <w:pPr>
        <w:rPr>
          <w:rFonts w:ascii="GHEA Grapalat" w:hAnsi="GHEA Grapalat"/>
          <w:b/>
          <w:sz w:val="20"/>
          <w:szCs w:val="20"/>
          <w:lang w:val="hy-AM"/>
        </w:rPr>
      </w:pPr>
    </w:p>
    <w:p w:rsidR="00262F9B" w:rsidRPr="00E57C0E" w:rsidRDefault="00C007A1" w:rsidP="00262F9B">
      <w:pPr>
        <w:jc w:val="center"/>
        <w:rPr>
          <w:rFonts w:ascii="GHEA Grapalat" w:hAnsi="GHEA Grapalat"/>
          <w:sz w:val="22"/>
          <w:szCs w:val="20"/>
          <w:lang w:val="hy-AM"/>
        </w:rPr>
      </w:pPr>
      <w:r w:rsidRPr="00E57C0E">
        <w:rPr>
          <w:rFonts w:ascii="GHEA Grapalat" w:hAnsi="GHEA Grapalat"/>
          <w:b/>
          <w:sz w:val="22"/>
          <w:szCs w:val="20"/>
          <w:lang w:val="hy-AM"/>
        </w:rPr>
        <w:t>Աղյուսակ 1</w:t>
      </w:r>
      <w:r w:rsidR="00262F9B" w:rsidRPr="00E57C0E">
        <w:rPr>
          <w:rFonts w:ascii="GHEA Grapalat" w:hAnsi="GHEA Grapalat"/>
          <w:b/>
          <w:sz w:val="22"/>
          <w:szCs w:val="20"/>
          <w:lang w:val="hy-AM"/>
        </w:rPr>
        <w:t xml:space="preserve">.2. </w:t>
      </w:r>
      <w:r w:rsidR="00262F9B" w:rsidRPr="00E57C0E">
        <w:rPr>
          <w:rFonts w:ascii="GHEA Grapalat" w:hAnsi="GHEA Grapalat"/>
          <w:sz w:val="22"/>
          <w:szCs w:val="20"/>
          <w:lang w:val="hy-AM"/>
        </w:rPr>
        <w:t>Արտահանման ապրանքային կառուցվածքը և նպաստումները 2023 թվականի</w:t>
      </w:r>
      <w:r w:rsidR="00262F9B" w:rsidRPr="00E57C0E" w:rsidDel="00911C8A">
        <w:rPr>
          <w:rFonts w:ascii="GHEA Grapalat" w:hAnsi="GHEA Grapalat"/>
          <w:sz w:val="22"/>
          <w:szCs w:val="20"/>
          <w:lang w:val="hy-AM"/>
        </w:rPr>
        <w:t xml:space="preserve"> </w:t>
      </w:r>
      <w:r w:rsidR="00262F9B" w:rsidRPr="00E57C0E">
        <w:rPr>
          <w:rFonts w:ascii="GHEA Grapalat" w:hAnsi="GHEA Grapalat"/>
          <w:sz w:val="22"/>
          <w:szCs w:val="20"/>
          <w:lang w:val="hy-AM"/>
        </w:rPr>
        <w:t xml:space="preserve">առաջին </w:t>
      </w:r>
      <w:r w:rsidR="007B4106" w:rsidRPr="00E57C0E">
        <w:rPr>
          <w:rFonts w:ascii="GHEA Grapalat" w:hAnsi="GHEA Grapalat"/>
          <w:sz w:val="22"/>
          <w:szCs w:val="20"/>
          <w:lang w:val="hy-AM"/>
        </w:rPr>
        <w:t>կիսամյակ</w:t>
      </w:r>
      <w:r w:rsidR="00262F9B" w:rsidRPr="00E57C0E">
        <w:rPr>
          <w:rFonts w:ascii="GHEA Grapalat" w:hAnsi="GHEA Grapalat"/>
          <w:sz w:val="22"/>
          <w:szCs w:val="20"/>
          <w:lang w:val="hy-AM"/>
        </w:rPr>
        <w:t>ի արտահանման աճին</w:t>
      </w:r>
    </w:p>
    <w:p w:rsidR="00262F9B" w:rsidRPr="00E57C0E" w:rsidRDefault="00262F9B" w:rsidP="00262F9B">
      <w:pPr>
        <w:jc w:val="center"/>
        <w:rPr>
          <w:rFonts w:ascii="GHEA Grapalat" w:hAnsi="GHEA Grapalat" w:cs="Arial"/>
          <w:szCs w:val="20"/>
          <w:lang w:val="hy-AM"/>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91"/>
        <w:gridCol w:w="1134"/>
        <w:gridCol w:w="992"/>
        <w:gridCol w:w="1015"/>
        <w:gridCol w:w="1395"/>
      </w:tblGrid>
      <w:tr w:rsidR="00AA791E" w:rsidRPr="00E57C0E" w:rsidTr="00AA791E">
        <w:tc>
          <w:tcPr>
            <w:tcW w:w="6091" w:type="dxa"/>
            <w:tcBorders>
              <w:top w:val="single" w:sz="4" w:space="0" w:color="4F81BD"/>
              <w:left w:val="single" w:sz="4" w:space="0" w:color="4F81BD"/>
              <w:bottom w:val="single" w:sz="4" w:space="0" w:color="4F81BD"/>
              <w:right w:val="nil"/>
            </w:tcBorders>
            <w:shd w:val="clear" w:color="auto" w:fill="4F81BD"/>
          </w:tcPr>
          <w:p w:rsidR="00AA791E" w:rsidRPr="00E57C0E" w:rsidRDefault="00AA791E" w:rsidP="00AA791E">
            <w:pP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ԱՐՏԱՀԱՆՈՒՄ</w:t>
            </w:r>
          </w:p>
        </w:tc>
        <w:tc>
          <w:tcPr>
            <w:tcW w:w="1134" w:type="dxa"/>
            <w:tcBorders>
              <w:top w:val="single" w:sz="4" w:space="0" w:color="4F81BD"/>
              <w:left w:val="nil"/>
              <w:bottom w:val="single" w:sz="4" w:space="0" w:color="4F81BD"/>
              <w:right w:val="nil"/>
            </w:tcBorders>
            <w:shd w:val="clear" w:color="auto" w:fill="4F81BD"/>
          </w:tcPr>
          <w:p w:rsidR="00AA791E" w:rsidRPr="00E57C0E" w:rsidRDefault="00AA791E" w:rsidP="00AA791E">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 xml:space="preserve">Ծավալ </w:t>
            </w:r>
            <w:r w:rsidRPr="00E57C0E">
              <w:rPr>
                <w:rFonts w:ascii="GHEA Grapalat" w:eastAsia="Calibri" w:hAnsi="GHEA Grapalat" w:cs="Sylfaen"/>
                <w:b/>
                <w:bCs/>
                <w:color w:val="FFFFFF"/>
                <w:sz w:val="20"/>
                <w:szCs w:val="20"/>
              </w:rPr>
              <w:t>(մլն ԱՄՆ դոլար)</w:t>
            </w:r>
          </w:p>
        </w:tc>
        <w:tc>
          <w:tcPr>
            <w:tcW w:w="992" w:type="dxa"/>
            <w:tcBorders>
              <w:top w:val="single" w:sz="4" w:space="0" w:color="4F81BD"/>
              <w:left w:val="nil"/>
              <w:bottom w:val="single" w:sz="4" w:space="0" w:color="4F81BD"/>
              <w:right w:val="nil"/>
            </w:tcBorders>
            <w:shd w:val="clear" w:color="auto" w:fill="4F81BD"/>
          </w:tcPr>
          <w:p w:rsidR="00AA791E" w:rsidRPr="00E57C0E" w:rsidRDefault="00AA791E" w:rsidP="00AA791E">
            <w:pPr>
              <w:jc w:val="center"/>
              <w:rPr>
                <w:rFonts w:ascii="GHEA Grapalat" w:eastAsia="Calibri" w:hAnsi="GHEA Grapalat"/>
                <w:b/>
                <w:bCs/>
                <w:color w:val="FFFFFF"/>
                <w:sz w:val="20"/>
                <w:szCs w:val="20"/>
              </w:rPr>
            </w:pPr>
            <w:r w:rsidRPr="00E57C0E">
              <w:rPr>
                <w:rFonts w:ascii="GHEA Grapalat" w:eastAsia="Calibri" w:hAnsi="GHEA Grapalat" w:cs="Sylfaen"/>
                <w:b/>
                <w:bCs/>
                <w:color w:val="FFFFFF"/>
                <w:sz w:val="20"/>
                <w:szCs w:val="20"/>
              </w:rPr>
              <w:t>Կշիռ (տոկոս)</w:t>
            </w:r>
          </w:p>
        </w:tc>
        <w:tc>
          <w:tcPr>
            <w:tcW w:w="1015" w:type="dxa"/>
            <w:tcBorders>
              <w:top w:val="single" w:sz="4" w:space="0" w:color="4F81BD"/>
              <w:left w:val="nil"/>
              <w:bottom w:val="single" w:sz="4" w:space="0" w:color="4F81BD"/>
              <w:right w:val="nil"/>
            </w:tcBorders>
            <w:shd w:val="clear" w:color="auto" w:fill="4F81BD"/>
          </w:tcPr>
          <w:p w:rsidR="00AA791E" w:rsidRPr="00E57C0E" w:rsidRDefault="00AA791E" w:rsidP="00AA791E">
            <w:pPr>
              <w:jc w:val="center"/>
              <w:rPr>
                <w:rFonts w:ascii="GHEA Grapalat" w:eastAsia="Calibri" w:hAnsi="GHEA Grapalat"/>
                <w:b/>
                <w:bCs/>
                <w:color w:val="FFFFFF"/>
                <w:sz w:val="20"/>
                <w:szCs w:val="20"/>
              </w:rPr>
            </w:pPr>
            <w:r w:rsidRPr="00E57C0E">
              <w:rPr>
                <w:rFonts w:ascii="GHEA Grapalat" w:eastAsia="Calibri" w:hAnsi="GHEA Grapalat" w:cs="Sylfaen"/>
                <w:b/>
                <w:bCs/>
                <w:color w:val="FFFFFF"/>
                <w:sz w:val="20"/>
                <w:szCs w:val="20"/>
              </w:rPr>
              <w:t>Աճ (տոկոս)</w:t>
            </w:r>
          </w:p>
        </w:tc>
        <w:tc>
          <w:tcPr>
            <w:tcW w:w="1395" w:type="dxa"/>
            <w:tcBorders>
              <w:top w:val="single" w:sz="4" w:space="0" w:color="4F81BD"/>
              <w:left w:val="nil"/>
              <w:bottom w:val="single" w:sz="4" w:space="0" w:color="4F81BD"/>
              <w:right w:val="single" w:sz="4" w:space="0" w:color="4F81BD"/>
            </w:tcBorders>
            <w:shd w:val="clear" w:color="auto" w:fill="4F81BD"/>
          </w:tcPr>
          <w:p w:rsidR="00AA791E" w:rsidRPr="00E57C0E" w:rsidRDefault="00AA791E" w:rsidP="00AA791E">
            <w:pPr>
              <w:jc w:val="center"/>
              <w:rPr>
                <w:rFonts w:ascii="GHEA Grapalat" w:eastAsia="Calibri" w:hAnsi="GHEA Grapalat"/>
                <w:b/>
                <w:bCs/>
                <w:color w:val="FFFFFF"/>
                <w:sz w:val="20"/>
                <w:szCs w:val="20"/>
              </w:rPr>
            </w:pPr>
            <w:r w:rsidRPr="00E57C0E">
              <w:rPr>
                <w:rFonts w:ascii="GHEA Grapalat" w:eastAsia="Calibri" w:hAnsi="GHEA Grapalat" w:cs="Sylfaen"/>
                <w:b/>
                <w:bCs/>
                <w:color w:val="FFFFFF"/>
                <w:sz w:val="20"/>
                <w:szCs w:val="20"/>
              </w:rPr>
              <w:t>Նպաստում (տոկոսային կետ)</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Ընդամեննը</w:t>
            </w:r>
          </w:p>
        </w:tc>
        <w:tc>
          <w:tcPr>
            <w:tcW w:w="1134"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3267</w:t>
            </w:r>
          </w:p>
        </w:tc>
        <w:tc>
          <w:tcPr>
            <w:tcW w:w="992" w:type="dxa"/>
            <w:shd w:val="clear" w:color="auto" w:fill="DBE5F1"/>
            <w:vAlign w:val="bottom"/>
          </w:tcPr>
          <w:p w:rsidR="00AA791E" w:rsidRPr="00E57C0E" w:rsidRDefault="00AA791E" w:rsidP="00AA791E">
            <w:pPr>
              <w:jc w:val="center"/>
              <w:rPr>
                <w:rFonts w:ascii="GHEA Grapalat" w:eastAsia="Calibri" w:hAnsi="GHEA Grapalat" w:cs="Arial"/>
                <w:b/>
                <w:bCs/>
                <w:sz w:val="20"/>
                <w:szCs w:val="20"/>
              </w:rPr>
            </w:pPr>
            <w:r w:rsidRPr="00E57C0E">
              <w:rPr>
                <w:rFonts w:ascii="GHEA Grapalat" w:hAnsi="GHEA Grapalat" w:cs="Arial"/>
                <w:sz w:val="20"/>
                <w:szCs w:val="20"/>
              </w:rPr>
              <w:t>100.0</w:t>
            </w:r>
          </w:p>
        </w:tc>
        <w:tc>
          <w:tcPr>
            <w:tcW w:w="1015" w:type="dxa"/>
            <w:shd w:val="clear" w:color="auto" w:fill="DBE5F1"/>
            <w:vAlign w:val="bottom"/>
          </w:tcPr>
          <w:p w:rsidR="00AA791E" w:rsidRPr="00E57C0E" w:rsidRDefault="00AA791E" w:rsidP="00AA791E">
            <w:pPr>
              <w:jc w:val="center"/>
              <w:rPr>
                <w:rFonts w:ascii="GHEA Grapalat" w:eastAsia="Calibri" w:hAnsi="GHEA Grapalat"/>
                <w:b/>
                <w:sz w:val="20"/>
                <w:szCs w:val="20"/>
              </w:rPr>
            </w:pPr>
            <w:r w:rsidRPr="00E57C0E">
              <w:rPr>
                <w:rFonts w:ascii="GHEA Grapalat" w:hAnsi="GHEA Grapalat" w:cs="Arial"/>
                <w:sz w:val="20"/>
                <w:szCs w:val="20"/>
              </w:rPr>
              <w:t>72.8</w:t>
            </w:r>
          </w:p>
        </w:tc>
        <w:tc>
          <w:tcPr>
            <w:tcW w:w="1395" w:type="dxa"/>
            <w:shd w:val="clear" w:color="auto" w:fill="DBE5F1"/>
            <w:vAlign w:val="bottom"/>
          </w:tcPr>
          <w:p w:rsidR="00AA791E" w:rsidRPr="00E57C0E" w:rsidRDefault="00AA791E" w:rsidP="00AA791E">
            <w:pPr>
              <w:jc w:val="center"/>
              <w:rPr>
                <w:rFonts w:ascii="GHEA Grapalat" w:eastAsia="Calibri" w:hAnsi="GHEA Grapalat"/>
                <w:b/>
                <w:sz w:val="20"/>
                <w:szCs w:val="20"/>
              </w:rPr>
            </w:pPr>
            <w:r w:rsidRPr="00E57C0E">
              <w:rPr>
                <w:rFonts w:ascii="GHEA Grapalat" w:hAnsi="GHEA Grapalat" w:cs="Arial"/>
                <w:sz w:val="20"/>
                <w:szCs w:val="20"/>
              </w:rPr>
              <w:t>72.8</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Կենդանիներ և կենդանական ծագման արտադրանք</w:t>
            </w:r>
          </w:p>
        </w:tc>
        <w:tc>
          <w:tcPr>
            <w:tcW w:w="1134"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46</w:t>
            </w:r>
          </w:p>
        </w:tc>
        <w:tc>
          <w:tcPr>
            <w:tcW w:w="992"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1.4</w:t>
            </w:r>
          </w:p>
        </w:tc>
        <w:tc>
          <w:tcPr>
            <w:tcW w:w="101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-19.4</w:t>
            </w:r>
          </w:p>
        </w:tc>
        <w:tc>
          <w:tcPr>
            <w:tcW w:w="139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-0.6</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Բուսական ծագման արտադրանք</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83</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2.5</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-20.2</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-1.1</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Յուղեր և ճարպեր</w:t>
            </w:r>
          </w:p>
        </w:tc>
        <w:tc>
          <w:tcPr>
            <w:tcW w:w="1134"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w:t>
            </w:r>
          </w:p>
        </w:tc>
        <w:tc>
          <w:tcPr>
            <w:tcW w:w="992"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0.0</w:t>
            </w:r>
          </w:p>
        </w:tc>
        <w:tc>
          <w:tcPr>
            <w:tcW w:w="101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-28.9</w:t>
            </w:r>
          </w:p>
        </w:tc>
        <w:tc>
          <w:tcPr>
            <w:tcW w:w="139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0.0</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Պատրաստի սննդի արտադրանք</w:t>
            </w:r>
          </w:p>
        </w:tc>
        <w:tc>
          <w:tcPr>
            <w:tcW w:w="1134"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417</w:t>
            </w:r>
          </w:p>
        </w:tc>
        <w:tc>
          <w:tcPr>
            <w:tcW w:w="992"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12.8</w:t>
            </w:r>
          </w:p>
        </w:tc>
        <w:tc>
          <w:tcPr>
            <w:tcW w:w="1015"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17.7</w:t>
            </w:r>
          </w:p>
        </w:tc>
        <w:tc>
          <w:tcPr>
            <w:tcW w:w="1395"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3.3</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Հանքահումքային մթերք</w:t>
            </w:r>
          </w:p>
        </w:tc>
        <w:tc>
          <w:tcPr>
            <w:tcW w:w="1134"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412</w:t>
            </w:r>
          </w:p>
        </w:tc>
        <w:tc>
          <w:tcPr>
            <w:tcW w:w="992"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12.6</w:t>
            </w:r>
          </w:p>
        </w:tc>
        <w:tc>
          <w:tcPr>
            <w:tcW w:w="101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-25.3</w:t>
            </w:r>
          </w:p>
        </w:tc>
        <w:tc>
          <w:tcPr>
            <w:tcW w:w="139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-7.4</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Քիմիական արտադրության ապրանքներ</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66</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2.0</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145.3</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2.1</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Պլաստմասսա, կաուչուկ, ռետին</w:t>
            </w:r>
          </w:p>
        </w:tc>
        <w:tc>
          <w:tcPr>
            <w:tcW w:w="1134"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37</w:t>
            </w:r>
          </w:p>
        </w:tc>
        <w:tc>
          <w:tcPr>
            <w:tcW w:w="992"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1.1</w:t>
            </w:r>
          </w:p>
        </w:tc>
        <w:tc>
          <w:tcPr>
            <w:tcW w:w="101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141.4</w:t>
            </w:r>
          </w:p>
        </w:tc>
        <w:tc>
          <w:tcPr>
            <w:tcW w:w="139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1.2</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Կաշի և դրանից իրեր</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9</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0.3</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114.6</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0.2</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Փայտ և փայտյա իրեր</w:t>
            </w:r>
          </w:p>
        </w:tc>
        <w:tc>
          <w:tcPr>
            <w:tcW w:w="1134"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7</w:t>
            </w:r>
          </w:p>
        </w:tc>
        <w:tc>
          <w:tcPr>
            <w:tcW w:w="992"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0.2</w:t>
            </w:r>
          </w:p>
        </w:tc>
        <w:tc>
          <w:tcPr>
            <w:tcW w:w="101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544.3</w:t>
            </w:r>
          </w:p>
        </w:tc>
        <w:tc>
          <w:tcPr>
            <w:tcW w:w="139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0.3</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Թուղթ և թղթյա իրեր</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3</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0.1</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9.9</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0.0</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Մանածագործական իրեր</w:t>
            </w:r>
          </w:p>
        </w:tc>
        <w:tc>
          <w:tcPr>
            <w:tcW w:w="1134"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164</w:t>
            </w:r>
          </w:p>
        </w:tc>
        <w:tc>
          <w:tcPr>
            <w:tcW w:w="992"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5.0</w:t>
            </w:r>
          </w:p>
        </w:tc>
        <w:tc>
          <w:tcPr>
            <w:tcW w:w="101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82.6</w:t>
            </w:r>
          </w:p>
        </w:tc>
        <w:tc>
          <w:tcPr>
            <w:tcW w:w="139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3.9</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Կոշկեղեն, հովանոցներ, գլխարկ</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21</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0.6</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536.8</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0.9</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Իրեր քարից, գիպսից, ցեմենտից</w:t>
            </w:r>
          </w:p>
        </w:tc>
        <w:tc>
          <w:tcPr>
            <w:tcW w:w="1134"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18</w:t>
            </w:r>
          </w:p>
        </w:tc>
        <w:tc>
          <w:tcPr>
            <w:tcW w:w="992"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0.6</w:t>
            </w:r>
          </w:p>
        </w:tc>
        <w:tc>
          <w:tcPr>
            <w:tcW w:w="101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41.0</w:t>
            </w:r>
          </w:p>
        </w:tc>
        <w:tc>
          <w:tcPr>
            <w:tcW w:w="139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0.3</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Թանկարժեք քարեր և մետաղներ</w:t>
            </w:r>
          </w:p>
        </w:tc>
        <w:tc>
          <w:tcPr>
            <w:tcW w:w="1134"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688</w:t>
            </w:r>
          </w:p>
        </w:tc>
        <w:tc>
          <w:tcPr>
            <w:tcW w:w="992"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21.0</w:t>
            </w:r>
          </w:p>
        </w:tc>
        <w:tc>
          <w:tcPr>
            <w:tcW w:w="1015"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126.1</w:t>
            </w:r>
          </w:p>
        </w:tc>
        <w:tc>
          <w:tcPr>
            <w:tcW w:w="1395"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20.3</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Ոչ թանկարժեք մետաղներ և իրեր դրանցից</w:t>
            </w:r>
          </w:p>
        </w:tc>
        <w:tc>
          <w:tcPr>
            <w:tcW w:w="1134"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277</w:t>
            </w:r>
          </w:p>
        </w:tc>
        <w:tc>
          <w:tcPr>
            <w:tcW w:w="992"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8.5</w:t>
            </w:r>
          </w:p>
        </w:tc>
        <w:tc>
          <w:tcPr>
            <w:tcW w:w="101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18.7</w:t>
            </w:r>
          </w:p>
        </w:tc>
        <w:tc>
          <w:tcPr>
            <w:tcW w:w="139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2.3</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Մեքենաներ և սարքավորումներ</w:t>
            </w:r>
          </w:p>
        </w:tc>
        <w:tc>
          <w:tcPr>
            <w:tcW w:w="1134"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567</w:t>
            </w:r>
          </w:p>
        </w:tc>
        <w:tc>
          <w:tcPr>
            <w:tcW w:w="992"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17.4</w:t>
            </w:r>
          </w:p>
        </w:tc>
        <w:tc>
          <w:tcPr>
            <w:tcW w:w="1015"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735.5</w:t>
            </w:r>
          </w:p>
        </w:tc>
        <w:tc>
          <w:tcPr>
            <w:tcW w:w="1395" w:type="dxa"/>
            <w:shd w:val="clear" w:color="auto" w:fill="DBE5F1"/>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26.4</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Տրանսպորտային միջոցներ</w:t>
            </w:r>
          </w:p>
        </w:tc>
        <w:tc>
          <w:tcPr>
            <w:tcW w:w="1134"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352</w:t>
            </w:r>
          </w:p>
        </w:tc>
        <w:tc>
          <w:tcPr>
            <w:tcW w:w="992"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10.8</w:t>
            </w:r>
          </w:p>
        </w:tc>
        <w:tc>
          <w:tcPr>
            <w:tcW w:w="101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1380.7</w:t>
            </w:r>
          </w:p>
        </w:tc>
        <w:tc>
          <w:tcPr>
            <w:tcW w:w="1395" w:type="dxa"/>
            <w:shd w:val="clear" w:color="auto" w:fill="auto"/>
            <w:vAlign w:val="bottom"/>
          </w:tcPr>
          <w:p w:rsidR="00AA791E" w:rsidRPr="00E57C0E" w:rsidRDefault="00AA791E" w:rsidP="00AA791E">
            <w:pPr>
              <w:jc w:val="center"/>
              <w:rPr>
                <w:rFonts w:ascii="GHEA Grapalat" w:eastAsia="Calibri" w:hAnsi="GHEA Grapalat"/>
                <w:b/>
                <w:color w:val="000000"/>
                <w:sz w:val="20"/>
                <w:szCs w:val="20"/>
              </w:rPr>
            </w:pPr>
            <w:r w:rsidRPr="00E57C0E">
              <w:rPr>
                <w:rFonts w:ascii="GHEA Grapalat" w:hAnsi="GHEA Grapalat" w:cs="Arial"/>
                <w:sz w:val="20"/>
                <w:szCs w:val="20"/>
              </w:rPr>
              <w:t>17.3</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Սարքեր և ապարատներ</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71</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2.2</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182.4</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2.4</w:t>
            </w:r>
          </w:p>
        </w:tc>
      </w:tr>
      <w:tr w:rsidR="00AA791E" w:rsidRPr="00E57C0E" w:rsidTr="00AA791E">
        <w:tc>
          <w:tcPr>
            <w:tcW w:w="6091" w:type="dxa"/>
            <w:shd w:val="clear" w:color="auto" w:fill="auto"/>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Ընդամենը տարբեր արդյունաբերական</w:t>
            </w:r>
            <w:r w:rsidR="008B7237" w:rsidRPr="00E57C0E">
              <w:rPr>
                <w:rFonts w:ascii="GHEA Grapalat" w:hAnsi="GHEA Grapalat" w:cs="Arial"/>
                <w:sz w:val="20"/>
                <w:szCs w:val="20"/>
              </w:rPr>
              <w:t xml:space="preserve"> </w:t>
            </w:r>
            <w:r w:rsidRPr="00E57C0E">
              <w:rPr>
                <w:rFonts w:ascii="GHEA Grapalat" w:hAnsi="GHEA Grapalat" w:cs="Arial"/>
                <w:sz w:val="20"/>
                <w:szCs w:val="20"/>
              </w:rPr>
              <w:t>ապրանքներ</w:t>
            </w:r>
          </w:p>
        </w:tc>
        <w:tc>
          <w:tcPr>
            <w:tcW w:w="1134"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27</w:t>
            </w:r>
          </w:p>
        </w:tc>
        <w:tc>
          <w:tcPr>
            <w:tcW w:w="992"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0.8</w:t>
            </w:r>
          </w:p>
        </w:tc>
        <w:tc>
          <w:tcPr>
            <w:tcW w:w="101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181.1</w:t>
            </w:r>
          </w:p>
        </w:tc>
        <w:tc>
          <w:tcPr>
            <w:tcW w:w="1395" w:type="dxa"/>
            <w:shd w:val="clear" w:color="auto" w:fill="auto"/>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0.9</w:t>
            </w:r>
          </w:p>
        </w:tc>
      </w:tr>
      <w:tr w:rsidR="00AA791E" w:rsidRPr="00E57C0E" w:rsidTr="00AA791E">
        <w:tc>
          <w:tcPr>
            <w:tcW w:w="6091" w:type="dxa"/>
            <w:shd w:val="clear" w:color="auto" w:fill="DBE5F1"/>
            <w:vAlign w:val="bottom"/>
          </w:tcPr>
          <w:p w:rsidR="00AA791E" w:rsidRPr="00E57C0E" w:rsidRDefault="00AA791E" w:rsidP="00AA791E">
            <w:pPr>
              <w:rPr>
                <w:rFonts w:ascii="GHEA Grapalat" w:eastAsia="Calibri" w:hAnsi="GHEA Grapalat"/>
                <w:bCs/>
                <w:sz w:val="20"/>
                <w:szCs w:val="20"/>
              </w:rPr>
            </w:pPr>
            <w:r w:rsidRPr="00E57C0E">
              <w:rPr>
                <w:rFonts w:ascii="GHEA Grapalat" w:hAnsi="GHEA Grapalat" w:cs="Arial"/>
                <w:sz w:val="20"/>
                <w:szCs w:val="20"/>
              </w:rPr>
              <w:t>Արվեստի ստեղծագործություններ, հնաոճ իրեր</w:t>
            </w:r>
          </w:p>
        </w:tc>
        <w:tc>
          <w:tcPr>
            <w:tcW w:w="1134"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w:t>
            </w:r>
          </w:p>
        </w:tc>
        <w:tc>
          <w:tcPr>
            <w:tcW w:w="992"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w:t>
            </w:r>
          </w:p>
        </w:tc>
        <w:tc>
          <w:tcPr>
            <w:tcW w:w="101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w:t>
            </w:r>
          </w:p>
        </w:tc>
        <w:tc>
          <w:tcPr>
            <w:tcW w:w="1395" w:type="dxa"/>
            <w:shd w:val="clear" w:color="auto" w:fill="DBE5F1"/>
            <w:vAlign w:val="bottom"/>
          </w:tcPr>
          <w:p w:rsidR="00AA791E" w:rsidRPr="00E57C0E" w:rsidRDefault="00AA791E" w:rsidP="00AA791E">
            <w:pPr>
              <w:jc w:val="center"/>
              <w:rPr>
                <w:rFonts w:ascii="GHEA Grapalat" w:eastAsia="Calibri" w:hAnsi="GHEA Grapalat"/>
                <w:color w:val="000000"/>
                <w:sz w:val="20"/>
                <w:szCs w:val="20"/>
              </w:rPr>
            </w:pPr>
            <w:r w:rsidRPr="00E57C0E">
              <w:rPr>
                <w:rFonts w:ascii="GHEA Grapalat" w:hAnsi="GHEA Grapalat" w:cs="Arial"/>
                <w:sz w:val="20"/>
                <w:szCs w:val="20"/>
              </w:rPr>
              <w:t>1</w:t>
            </w:r>
          </w:p>
        </w:tc>
      </w:tr>
    </w:tbl>
    <w:p w:rsidR="00262F9B" w:rsidRPr="00E57C0E" w:rsidRDefault="00262F9B" w:rsidP="00262F9B">
      <w:pPr>
        <w:jc w:val="center"/>
        <w:rPr>
          <w:rFonts w:ascii="GHEA Grapalat" w:hAnsi="GHEA Grapalat"/>
          <w:b/>
          <w:sz w:val="22"/>
          <w:szCs w:val="20"/>
          <w:lang w:val="hy-AM"/>
        </w:rPr>
      </w:pPr>
    </w:p>
    <w:p w:rsidR="00AA791E" w:rsidRPr="00E57C0E" w:rsidRDefault="00AA791E" w:rsidP="00262F9B">
      <w:pPr>
        <w:jc w:val="center"/>
        <w:rPr>
          <w:rFonts w:ascii="GHEA Grapalat" w:hAnsi="GHEA Grapalat"/>
          <w:b/>
          <w:sz w:val="22"/>
          <w:szCs w:val="20"/>
          <w:lang w:val="hy-AM"/>
        </w:rPr>
      </w:pPr>
    </w:p>
    <w:p w:rsidR="00262F9B" w:rsidRPr="00E57C0E" w:rsidRDefault="00262F9B" w:rsidP="00262F9B">
      <w:pPr>
        <w:jc w:val="center"/>
        <w:rPr>
          <w:rFonts w:ascii="GHEA Grapalat" w:hAnsi="GHEA Grapalat"/>
          <w:sz w:val="22"/>
          <w:szCs w:val="20"/>
          <w:lang w:val="hy-AM"/>
        </w:rPr>
      </w:pPr>
      <w:r w:rsidRPr="00E57C0E">
        <w:rPr>
          <w:rFonts w:ascii="GHEA Grapalat" w:hAnsi="GHEA Grapalat"/>
          <w:b/>
          <w:sz w:val="22"/>
          <w:szCs w:val="20"/>
          <w:lang w:val="hy-AM"/>
        </w:rPr>
        <w:t xml:space="preserve">Աղյուսակ </w:t>
      </w:r>
      <w:r w:rsidR="00C007A1" w:rsidRPr="00E57C0E">
        <w:rPr>
          <w:rFonts w:ascii="GHEA Grapalat" w:hAnsi="GHEA Grapalat"/>
          <w:b/>
          <w:sz w:val="22"/>
          <w:szCs w:val="20"/>
          <w:lang w:val="hy-AM"/>
        </w:rPr>
        <w:t>1</w:t>
      </w:r>
      <w:r w:rsidRPr="00E57C0E">
        <w:rPr>
          <w:rFonts w:ascii="GHEA Grapalat" w:hAnsi="GHEA Grapalat"/>
          <w:b/>
          <w:sz w:val="22"/>
          <w:szCs w:val="20"/>
          <w:lang w:val="hy-AM"/>
        </w:rPr>
        <w:t xml:space="preserve">.3. </w:t>
      </w:r>
      <w:r w:rsidRPr="00E57C0E">
        <w:rPr>
          <w:rFonts w:ascii="GHEA Grapalat" w:hAnsi="GHEA Grapalat"/>
          <w:sz w:val="22"/>
          <w:szCs w:val="20"/>
          <w:lang w:val="hy-AM"/>
        </w:rPr>
        <w:t>Ներմուծման ապրանքային կառուցվածքը և նպաստումները 2023 թվականի</w:t>
      </w:r>
      <w:r w:rsidRPr="00E57C0E" w:rsidDel="00911C8A">
        <w:rPr>
          <w:rFonts w:ascii="GHEA Grapalat" w:hAnsi="GHEA Grapalat"/>
          <w:sz w:val="22"/>
          <w:szCs w:val="20"/>
          <w:lang w:val="hy-AM"/>
        </w:rPr>
        <w:t xml:space="preserve"> </w:t>
      </w:r>
      <w:r w:rsidRPr="00E57C0E">
        <w:rPr>
          <w:rFonts w:ascii="GHEA Grapalat" w:hAnsi="GHEA Grapalat"/>
          <w:sz w:val="22"/>
          <w:szCs w:val="20"/>
          <w:lang w:val="hy-AM"/>
        </w:rPr>
        <w:t xml:space="preserve">առաջին </w:t>
      </w:r>
      <w:r w:rsidR="007B4106" w:rsidRPr="00E57C0E">
        <w:rPr>
          <w:rFonts w:ascii="GHEA Grapalat" w:hAnsi="GHEA Grapalat"/>
          <w:sz w:val="22"/>
          <w:szCs w:val="20"/>
          <w:lang w:val="hy-AM"/>
        </w:rPr>
        <w:t>կիսամյակ</w:t>
      </w:r>
      <w:r w:rsidR="00D62D25" w:rsidRPr="00E57C0E">
        <w:rPr>
          <w:rFonts w:ascii="GHEA Grapalat" w:hAnsi="GHEA Grapalat"/>
          <w:sz w:val="22"/>
          <w:szCs w:val="20"/>
          <w:lang w:val="hy-AM"/>
        </w:rPr>
        <w:t xml:space="preserve">ի </w:t>
      </w:r>
      <w:r w:rsidR="00D62D25" w:rsidRPr="00A857DF">
        <w:rPr>
          <w:rFonts w:ascii="GHEA Grapalat" w:hAnsi="GHEA Grapalat"/>
          <w:sz w:val="22"/>
          <w:szCs w:val="20"/>
          <w:lang w:val="hy-AM"/>
        </w:rPr>
        <w:t>ներմուծ</w:t>
      </w:r>
      <w:r w:rsidRPr="00E57C0E">
        <w:rPr>
          <w:rFonts w:ascii="GHEA Grapalat" w:hAnsi="GHEA Grapalat"/>
          <w:sz w:val="22"/>
          <w:szCs w:val="20"/>
          <w:lang w:val="hy-AM"/>
        </w:rPr>
        <w:t>ման աճին</w:t>
      </w:r>
    </w:p>
    <w:p w:rsidR="00262F9B" w:rsidRPr="00E57C0E" w:rsidRDefault="00262F9B" w:rsidP="00262F9B">
      <w:pPr>
        <w:jc w:val="center"/>
        <w:rPr>
          <w:rFonts w:ascii="GHEA Grapalat" w:hAnsi="GHEA Grapalat"/>
          <w:sz w:val="22"/>
          <w:szCs w:val="20"/>
          <w:lang w:val="hy-AM"/>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91"/>
        <w:gridCol w:w="1134"/>
        <w:gridCol w:w="992"/>
        <w:gridCol w:w="992"/>
        <w:gridCol w:w="1418"/>
      </w:tblGrid>
      <w:tr w:rsidR="004500FE" w:rsidRPr="00E57C0E" w:rsidTr="00B37A29">
        <w:tc>
          <w:tcPr>
            <w:tcW w:w="6091" w:type="dxa"/>
            <w:tcBorders>
              <w:top w:val="single" w:sz="4" w:space="0" w:color="4F81BD"/>
              <w:left w:val="single" w:sz="4" w:space="0" w:color="4F81BD"/>
              <w:bottom w:val="single" w:sz="4" w:space="0" w:color="4F81BD"/>
              <w:right w:val="nil"/>
            </w:tcBorders>
            <w:shd w:val="clear" w:color="auto" w:fill="4F81BD"/>
          </w:tcPr>
          <w:p w:rsidR="004500FE" w:rsidRPr="00E57C0E" w:rsidRDefault="004500FE" w:rsidP="00B37A29">
            <w:pP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ՆԵՐՄՈՒԾՈՒՄ</w:t>
            </w:r>
          </w:p>
        </w:tc>
        <w:tc>
          <w:tcPr>
            <w:tcW w:w="1134" w:type="dxa"/>
            <w:tcBorders>
              <w:top w:val="single" w:sz="4" w:space="0" w:color="4F81BD"/>
              <w:left w:val="nil"/>
              <w:bottom w:val="single" w:sz="4" w:space="0" w:color="4F81BD"/>
              <w:right w:val="nil"/>
            </w:tcBorders>
            <w:shd w:val="clear" w:color="auto" w:fill="4F81BD"/>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Ծավալ (մլն ԱՄՆ դոլար)</w:t>
            </w:r>
          </w:p>
        </w:tc>
        <w:tc>
          <w:tcPr>
            <w:tcW w:w="992" w:type="dxa"/>
            <w:tcBorders>
              <w:top w:val="single" w:sz="4" w:space="0" w:color="4F81BD"/>
              <w:left w:val="nil"/>
              <w:bottom w:val="single" w:sz="4" w:space="0" w:color="4F81BD"/>
              <w:right w:val="nil"/>
            </w:tcBorders>
            <w:shd w:val="clear" w:color="auto" w:fill="4F81BD"/>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cs="Sylfaen"/>
                <w:b/>
                <w:bCs/>
                <w:color w:val="FFFFFF"/>
                <w:sz w:val="20"/>
                <w:szCs w:val="20"/>
              </w:rPr>
              <w:t>Կշիռ (տոկոս)</w:t>
            </w:r>
          </w:p>
        </w:tc>
        <w:tc>
          <w:tcPr>
            <w:tcW w:w="992" w:type="dxa"/>
            <w:tcBorders>
              <w:top w:val="single" w:sz="4" w:space="0" w:color="4F81BD"/>
              <w:left w:val="nil"/>
              <w:bottom w:val="single" w:sz="4" w:space="0" w:color="4F81BD"/>
              <w:right w:val="nil"/>
            </w:tcBorders>
            <w:shd w:val="clear" w:color="auto" w:fill="4F81BD"/>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cs="Sylfaen"/>
                <w:b/>
                <w:bCs/>
                <w:color w:val="FFFFFF"/>
                <w:sz w:val="20"/>
                <w:szCs w:val="20"/>
              </w:rPr>
              <w:t>Աճ (տոկոս)</w:t>
            </w:r>
          </w:p>
        </w:tc>
        <w:tc>
          <w:tcPr>
            <w:tcW w:w="1418" w:type="dxa"/>
            <w:tcBorders>
              <w:top w:val="single" w:sz="4" w:space="0" w:color="4F81BD"/>
              <w:left w:val="nil"/>
              <w:bottom w:val="single" w:sz="4" w:space="0" w:color="4F81BD"/>
              <w:right w:val="single" w:sz="4" w:space="0" w:color="4F81BD"/>
            </w:tcBorders>
            <w:shd w:val="clear" w:color="auto" w:fill="4F81BD"/>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cs="Sylfaen"/>
                <w:b/>
                <w:bCs/>
                <w:color w:val="FFFFFF"/>
                <w:sz w:val="20"/>
                <w:szCs w:val="20"/>
              </w:rPr>
              <w:t>Նպաստում (տոկոսային կետ)</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b/>
                <w:bCs/>
                <w:sz w:val="20"/>
                <w:szCs w:val="20"/>
              </w:rPr>
              <w:t>Ընդամեննը</w:t>
            </w:r>
          </w:p>
        </w:tc>
        <w:tc>
          <w:tcPr>
            <w:tcW w:w="1134"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5632.5</w:t>
            </w:r>
          </w:p>
        </w:tc>
        <w:tc>
          <w:tcPr>
            <w:tcW w:w="992" w:type="dxa"/>
            <w:shd w:val="clear" w:color="auto" w:fill="DBE5F1"/>
            <w:vAlign w:val="bottom"/>
          </w:tcPr>
          <w:p w:rsidR="004500FE" w:rsidRPr="00E57C0E" w:rsidRDefault="004500FE" w:rsidP="00B37A29">
            <w:pPr>
              <w:jc w:val="center"/>
              <w:rPr>
                <w:rFonts w:ascii="GHEA Grapalat" w:eastAsia="Calibri" w:hAnsi="GHEA Grapalat" w:cs="Arial"/>
                <w:b/>
                <w:bCs/>
                <w:sz w:val="20"/>
                <w:szCs w:val="20"/>
              </w:rPr>
            </w:pPr>
            <w:r w:rsidRPr="00E57C0E">
              <w:rPr>
                <w:rFonts w:ascii="GHEA Grapalat" w:hAnsi="GHEA Grapalat" w:cs="Arial"/>
                <w:sz w:val="20"/>
                <w:szCs w:val="20"/>
              </w:rPr>
              <w:t>100</w:t>
            </w:r>
          </w:p>
        </w:tc>
        <w:tc>
          <w:tcPr>
            <w:tcW w:w="992" w:type="dxa"/>
            <w:shd w:val="clear" w:color="auto" w:fill="DBE5F1"/>
            <w:vAlign w:val="bottom"/>
          </w:tcPr>
          <w:p w:rsidR="004500FE" w:rsidRPr="00E57C0E" w:rsidRDefault="004500FE" w:rsidP="00B37A29">
            <w:pPr>
              <w:jc w:val="center"/>
              <w:rPr>
                <w:rFonts w:ascii="GHEA Grapalat" w:eastAsia="Calibri" w:hAnsi="GHEA Grapalat" w:cs="Arial"/>
                <w:b/>
                <w:bCs/>
                <w:sz w:val="20"/>
                <w:szCs w:val="20"/>
              </w:rPr>
            </w:pPr>
            <w:r w:rsidRPr="00E57C0E">
              <w:rPr>
                <w:rFonts w:ascii="GHEA Grapalat" w:hAnsi="GHEA Grapalat" w:cs="Arial"/>
                <w:sz w:val="20"/>
                <w:szCs w:val="20"/>
              </w:rPr>
              <w:t>73.0</w:t>
            </w:r>
          </w:p>
        </w:tc>
        <w:tc>
          <w:tcPr>
            <w:tcW w:w="1418" w:type="dxa"/>
            <w:shd w:val="clear" w:color="auto" w:fill="DBE5F1"/>
            <w:vAlign w:val="bottom"/>
          </w:tcPr>
          <w:p w:rsidR="004500FE" w:rsidRPr="00E57C0E" w:rsidRDefault="004500FE" w:rsidP="00B37A29">
            <w:pPr>
              <w:jc w:val="center"/>
              <w:rPr>
                <w:rFonts w:ascii="GHEA Grapalat" w:eastAsia="Calibri" w:hAnsi="GHEA Grapalat" w:cs="Arial"/>
                <w:b/>
                <w:bCs/>
                <w:sz w:val="20"/>
                <w:szCs w:val="20"/>
              </w:rPr>
            </w:pPr>
            <w:r w:rsidRPr="00E57C0E">
              <w:rPr>
                <w:rFonts w:ascii="GHEA Grapalat" w:hAnsi="GHEA Grapalat" w:cs="Arial"/>
                <w:sz w:val="20"/>
                <w:szCs w:val="20"/>
              </w:rPr>
              <w:t>73.0</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Կենդանիներ և կենդանական ծագման արտադրանք</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121.2</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2.2</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17.9</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0.6</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Բուսական ծագման արտադրանք</w:t>
            </w:r>
          </w:p>
        </w:tc>
        <w:tc>
          <w:tcPr>
            <w:tcW w:w="1134"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183.0</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3.2</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-0.7</w:t>
            </w:r>
          </w:p>
        </w:tc>
        <w:tc>
          <w:tcPr>
            <w:tcW w:w="1418"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0.0</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Յուղեր և ճարպեր</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31.4</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0.6</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-31.6</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-0.4</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Պատրաստի սննդի արտադրանք</w:t>
            </w:r>
          </w:p>
        </w:tc>
        <w:tc>
          <w:tcPr>
            <w:tcW w:w="1134"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279.4</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5.0</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30.7</w:t>
            </w:r>
          </w:p>
        </w:tc>
        <w:tc>
          <w:tcPr>
            <w:tcW w:w="1418"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2.0</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Հանքահումքային մթերք</w:t>
            </w:r>
          </w:p>
        </w:tc>
        <w:tc>
          <w:tcPr>
            <w:tcW w:w="1134"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543.1</w:t>
            </w:r>
          </w:p>
        </w:tc>
        <w:tc>
          <w:tcPr>
            <w:tcW w:w="992"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9.6</w:t>
            </w:r>
          </w:p>
        </w:tc>
        <w:tc>
          <w:tcPr>
            <w:tcW w:w="992"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-4.1</w:t>
            </w:r>
          </w:p>
        </w:tc>
        <w:tc>
          <w:tcPr>
            <w:tcW w:w="1418"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-0.7</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Քիմիական արտադրության ապրանքներ</w:t>
            </w:r>
          </w:p>
        </w:tc>
        <w:tc>
          <w:tcPr>
            <w:tcW w:w="1134"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316.9</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5.6</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15.3</w:t>
            </w:r>
          </w:p>
        </w:tc>
        <w:tc>
          <w:tcPr>
            <w:tcW w:w="1418"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1.3</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lastRenderedPageBreak/>
              <w:t>Պլաստմասսա, կաուչուկ, ռետին</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170.7</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3.0</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28.5</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1.2</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Կաշի և դրանից իրեր</w:t>
            </w:r>
          </w:p>
        </w:tc>
        <w:tc>
          <w:tcPr>
            <w:tcW w:w="1134"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18.6</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0.3</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63.8</w:t>
            </w:r>
          </w:p>
        </w:tc>
        <w:tc>
          <w:tcPr>
            <w:tcW w:w="1418"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0.2</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Փայտ և փայտյա իրեր</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44.8</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0.8</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13.1</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0.2</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Թուղթ և թղթյա իրեր</w:t>
            </w:r>
          </w:p>
        </w:tc>
        <w:tc>
          <w:tcPr>
            <w:tcW w:w="1134"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82.7</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1.5</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40.7</w:t>
            </w:r>
          </w:p>
        </w:tc>
        <w:tc>
          <w:tcPr>
            <w:tcW w:w="1418"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0.7</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Մանածագործական իրեր</w:t>
            </w:r>
          </w:p>
        </w:tc>
        <w:tc>
          <w:tcPr>
            <w:tcW w:w="1134"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285.4</w:t>
            </w:r>
          </w:p>
        </w:tc>
        <w:tc>
          <w:tcPr>
            <w:tcW w:w="992"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5.1</w:t>
            </w:r>
          </w:p>
        </w:tc>
        <w:tc>
          <w:tcPr>
            <w:tcW w:w="992"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79.6</w:t>
            </w:r>
          </w:p>
        </w:tc>
        <w:tc>
          <w:tcPr>
            <w:tcW w:w="1418"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3.9</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Կոշկեղեն, հովանոցներ, գլխարկ</w:t>
            </w:r>
          </w:p>
        </w:tc>
        <w:tc>
          <w:tcPr>
            <w:tcW w:w="1134"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51.4</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0.9</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48.4</w:t>
            </w:r>
          </w:p>
        </w:tc>
        <w:tc>
          <w:tcPr>
            <w:tcW w:w="1418"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0.5</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Իրեր քարից, գիպսից, ցեմենտից</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81.8</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1.5</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36.8</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0.7</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Թանկարժեք քարեր և մետաղներ</w:t>
            </w:r>
          </w:p>
        </w:tc>
        <w:tc>
          <w:tcPr>
            <w:tcW w:w="1134"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636.4</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11.3</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206.7</w:t>
            </w:r>
          </w:p>
        </w:tc>
        <w:tc>
          <w:tcPr>
            <w:tcW w:w="1418"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13.2</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Ոչ թանկարժեք մետաղներ և իրեր դրանցից</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289.2</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5.1</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12.2</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1.0</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Մեքենաներ և սարքավորումներ</w:t>
            </w:r>
          </w:p>
        </w:tc>
        <w:tc>
          <w:tcPr>
            <w:tcW w:w="1134"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1196.6</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21.2</w:t>
            </w:r>
          </w:p>
        </w:tc>
        <w:tc>
          <w:tcPr>
            <w:tcW w:w="992"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135.0</w:t>
            </w:r>
          </w:p>
        </w:tc>
        <w:tc>
          <w:tcPr>
            <w:tcW w:w="1418" w:type="dxa"/>
            <w:shd w:val="clear" w:color="auto" w:fill="DBE5F1"/>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21.1</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Տրանսպորտային միջոցներ</w:t>
            </w:r>
          </w:p>
        </w:tc>
        <w:tc>
          <w:tcPr>
            <w:tcW w:w="1134"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1067.2</w:t>
            </w:r>
          </w:p>
        </w:tc>
        <w:tc>
          <w:tcPr>
            <w:tcW w:w="992"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18.9</w:t>
            </w:r>
          </w:p>
        </w:tc>
        <w:tc>
          <w:tcPr>
            <w:tcW w:w="992"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340.9</w:t>
            </w:r>
          </w:p>
        </w:tc>
        <w:tc>
          <w:tcPr>
            <w:tcW w:w="1418" w:type="dxa"/>
            <w:shd w:val="clear" w:color="auto" w:fill="auto"/>
            <w:vAlign w:val="bottom"/>
          </w:tcPr>
          <w:p w:rsidR="004500FE" w:rsidRPr="00E57C0E" w:rsidRDefault="004500FE" w:rsidP="00B37A29">
            <w:pPr>
              <w:jc w:val="center"/>
              <w:rPr>
                <w:rFonts w:ascii="GHEA Grapalat" w:eastAsia="Calibri" w:hAnsi="GHEA Grapalat"/>
                <w:b/>
                <w:color w:val="000000"/>
                <w:sz w:val="20"/>
                <w:szCs w:val="20"/>
              </w:rPr>
            </w:pPr>
            <w:r w:rsidRPr="00E57C0E">
              <w:rPr>
                <w:rFonts w:ascii="GHEA Grapalat" w:hAnsi="GHEA Grapalat" w:cs="Arial"/>
                <w:sz w:val="20"/>
                <w:szCs w:val="20"/>
              </w:rPr>
              <w:t>25.3</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Սարքեր և ապարատներ</w:t>
            </w:r>
          </w:p>
        </w:tc>
        <w:tc>
          <w:tcPr>
            <w:tcW w:w="1134"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124.8</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2.2</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77.9</w:t>
            </w:r>
          </w:p>
        </w:tc>
        <w:tc>
          <w:tcPr>
            <w:tcW w:w="1418"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1.7</w:t>
            </w:r>
          </w:p>
        </w:tc>
      </w:tr>
      <w:tr w:rsidR="004500FE" w:rsidRPr="00E57C0E" w:rsidTr="00B37A29">
        <w:tc>
          <w:tcPr>
            <w:tcW w:w="6091" w:type="dxa"/>
            <w:shd w:val="clear" w:color="auto" w:fill="auto"/>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Ընդամենը տարբեր արդյունաբերական</w:t>
            </w:r>
            <w:r w:rsidR="008B7237" w:rsidRPr="00E57C0E">
              <w:rPr>
                <w:rFonts w:ascii="GHEA Grapalat" w:hAnsi="GHEA Grapalat" w:cs="Arial"/>
                <w:sz w:val="20"/>
                <w:szCs w:val="20"/>
              </w:rPr>
              <w:t xml:space="preserve"> </w:t>
            </w:r>
            <w:r w:rsidRPr="00E57C0E">
              <w:rPr>
                <w:rFonts w:ascii="GHEA Grapalat" w:hAnsi="GHEA Grapalat" w:cs="Arial"/>
                <w:sz w:val="20"/>
                <w:szCs w:val="20"/>
              </w:rPr>
              <w:t>ապրանքներ</w:t>
            </w:r>
          </w:p>
        </w:tc>
        <w:tc>
          <w:tcPr>
            <w:tcW w:w="1134"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107.5</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1.9</w:t>
            </w:r>
          </w:p>
        </w:tc>
        <w:tc>
          <w:tcPr>
            <w:tcW w:w="992"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39.8</w:t>
            </w:r>
          </w:p>
        </w:tc>
        <w:tc>
          <w:tcPr>
            <w:tcW w:w="1418" w:type="dxa"/>
            <w:shd w:val="clear" w:color="auto" w:fill="auto"/>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0.9</w:t>
            </w:r>
          </w:p>
        </w:tc>
      </w:tr>
      <w:tr w:rsidR="004500FE" w:rsidRPr="00E57C0E" w:rsidTr="00B37A29">
        <w:tc>
          <w:tcPr>
            <w:tcW w:w="6091" w:type="dxa"/>
            <w:shd w:val="clear" w:color="auto" w:fill="DBE5F1"/>
            <w:vAlign w:val="bottom"/>
          </w:tcPr>
          <w:p w:rsidR="004500FE" w:rsidRPr="00E57C0E" w:rsidRDefault="004500FE" w:rsidP="00B37A29">
            <w:pPr>
              <w:rPr>
                <w:rFonts w:ascii="GHEA Grapalat" w:eastAsia="Calibri" w:hAnsi="GHEA Grapalat"/>
                <w:bCs/>
                <w:sz w:val="20"/>
                <w:szCs w:val="20"/>
              </w:rPr>
            </w:pPr>
            <w:r w:rsidRPr="00E57C0E">
              <w:rPr>
                <w:rFonts w:ascii="GHEA Grapalat" w:hAnsi="GHEA Grapalat" w:cs="Arial"/>
                <w:sz w:val="20"/>
                <w:szCs w:val="20"/>
              </w:rPr>
              <w:t>Արվեստի ստեղծագործություններ, հնաոճ իրեր</w:t>
            </w:r>
          </w:p>
        </w:tc>
        <w:tc>
          <w:tcPr>
            <w:tcW w:w="1134"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0.4</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0.0</w:t>
            </w:r>
          </w:p>
        </w:tc>
        <w:tc>
          <w:tcPr>
            <w:tcW w:w="992"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-95.2</w:t>
            </w:r>
          </w:p>
        </w:tc>
        <w:tc>
          <w:tcPr>
            <w:tcW w:w="1418" w:type="dxa"/>
            <w:shd w:val="clear" w:color="auto" w:fill="DBE5F1"/>
            <w:vAlign w:val="bottom"/>
          </w:tcPr>
          <w:p w:rsidR="004500FE" w:rsidRPr="00E57C0E" w:rsidRDefault="004500FE" w:rsidP="00B37A29">
            <w:pPr>
              <w:jc w:val="center"/>
              <w:rPr>
                <w:rFonts w:ascii="GHEA Grapalat" w:eastAsia="Calibri" w:hAnsi="GHEA Grapalat"/>
                <w:color w:val="000000"/>
                <w:sz w:val="20"/>
                <w:szCs w:val="20"/>
              </w:rPr>
            </w:pPr>
            <w:r w:rsidRPr="00E57C0E">
              <w:rPr>
                <w:rFonts w:ascii="GHEA Grapalat" w:hAnsi="GHEA Grapalat" w:cs="Arial"/>
                <w:sz w:val="20"/>
                <w:szCs w:val="20"/>
              </w:rPr>
              <w:t>-0.3</w:t>
            </w:r>
          </w:p>
        </w:tc>
      </w:tr>
    </w:tbl>
    <w:p w:rsidR="00262F9B" w:rsidRPr="00E57C0E" w:rsidRDefault="00262F9B" w:rsidP="00262F9B">
      <w:pPr>
        <w:rPr>
          <w:rFonts w:ascii="GHEA Grapalat" w:hAnsi="GHEA Grapalat"/>
          <w:b/>
          <w:sz w:val="20"/>
          <w:szCs w:val="20"/>
          <w:lang w:val="hy-AM"/>
        </w:rPr>
      </w:pPr>
    </w:p>
    <w:p w:rsidR="00262F9B" w:rsidRPr="00E57C0E" w:rsidRDefault="00262F9B" w:rsidP="00262F9B">
      <w:pPr>
        <w:jc w:val="center"/>
        <w:rPr>
          <w:rFonts w:ascii="GHEA Grapalat" w:hAnsi="GHEA Grapalat"/>
          <w:sz w:val="22"/>
          <w:szCs w:val="20"/>
          <w:lang w:val="hy-AM"/>
        </w:rPr>
      </w:pPr>
      <w:r w:rsidRPr="00E57C0E">
        <w:rPr>
          <w:rFonts w:ascii="GHEA Grapalat" w:hAnsi="GHEA Grapalat"/>
          <w:b/>
          <w:sz w:val="22"/>
          <w:szCs w:val="20"/>
          <w:lang w:val="hy-AM"/>
        </w:rPr>
        <w:t xml:space="preserve">Աղյուսակ </w:t>
      </w:r>
      <w:r w:rsidR="00C007A1" w:rsidRPr="00E57C0E">
        <w:rPr>
          <w:rFonts w:ascii="GHEA Grapalat" w:hAnsi="GHEA Grapalat"/>
          <w:b/>
          <w:sz w:val="22"/>
          <w:szCs w:val="20"/>
          <w:lang w:val="hy-AM"/>
        </w:rPr>
        <w:t>1</w:t>
      </w:r>
      <w:r w:rsidRPr="00E57C0E">
        <w:rPr>
          <w:rFonts w:ascii="GHEA Grapalat" w:hAnsi="GHEA Grapalat"/>
          <w:b/>
          <w:sz w:val="22"/>
          <w:szCs w:val="20"/>
          <w:lang w:val="hy-AM"/>
        </w:rPr>
        <w:t>.4.</w:t>
      </w:r>
      <w:r w:rsidRPr="00E57C0E">
        <w:rPr>
          <w:rFonts w:ascii="GHEA Grapalat" w:hAnsi="GHEA Grapalat"/>
          <w:b/>
          <w:szCs w:val="20"/>
          <w:lang w:val="hy-AM"/>
        </w:rPr>
        <w:t xml:space="preserve"> </w:t>
      </w:r>
      <w:r w:rsidRPr="00E57C0E">
        <w:rPr>
          <w:rFonts w:ascii="GHEA Grapalat" w:hAnsi="GHEA Grapalat"/>
          <w:sz w:val="22"/>
          <w:szCs w:val="20"/>
          <w:lang w:val="hy-AM"/>
        </w:rPr>
        <w:t xml:space="preserve">Ներմուծումն ըստ ապրանքների լայն տնտեսական՝ BEC դասակարգչի և նպաստումները, 2023 թվականի առաջին </w:t>
      </w:r>
      <w:r w:rsidR="007B4106" w:rsidRPr="00E57C0E">
        <w:rPr>
          <w:rFonts w:ascii="GHEA Grapalat" w:hAnsi="GHEA Grapalat"/>
          <w:sz w:val="22"/>
          <w:szCs w:val="20"/>
          <w:lang w:val="hy-AM"/>
        </w:rPr>
        <w:t>կիսամյակ</w:t>
      </w:r>
    </w:p>
    <w:p w:rsidR="00262F9B" w:rsidRPr="00E57C0E" w:rsidRDefault="00262F9B" w:rsidP="00262F9B">
      <w:pPr>
        <w:jc w:val="center"/>
        <w:rPr>
          <w:rFonts w:ascii="GHEA Grapalat" w:hAnsi="GHEA Grapalat"/>
          <w:b/>
          <w:szCs w:val="20"/>
          <w:lang w:val="hy-AM"/>
        </w:rPr>
      </w:pPr>
    </w:p>
    <w:tbl>
      <w:tblPr>
        <w:tblW w:w="1049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660"/>
        <w:gridCol w:w="1276"/>
        <w:gridCol w:w="1134"/>
        <w:gridCol w:w="850"/>
        <w:gridCol w:w="851"/>
        <w:gridCol w:w="850"/>
        <w:gridCol w:w="851"/>
        <w:gridCol w:w="992"/>
        <w:gridCol w:w="1027"/>
      </w:tblGrid>
      <w:tr w:rsidR="004500FE" w:rsidRPr="00E57C0E" w:rsidTr="008344C7">
        <w:trPr>
          <w:trHeight w:val="634"/>
        </w:trPr>
        <w:tc>
          <w:tcPr>
            <w:tcW w:w="2660" w:type="dxa"/>
            <w:tcBorders>
              <w:top w:val="single" w:sz="4" w:space="0" w:color="4F81BD"/>
              <w:left w:val="single" w:sz="4" w:space="0" w:color="4F81BD"/>
              <w:bottom w:val="single" w:sz="4" w:space="0" w:color="4F81BD"/>
              <w:right w:val="nil"/>
            </w:tcBorders>
            <w:shd w:val="clear" w:color="auto" w:fill="4F81BD"/>
            <w:vAlign w:val="center"/>
          </w:tcPr>
          <w:p w:rsidR="004500FE" w:rsidRPr="00A857DF" w:rsidRDefault="004500FE" w:rsidP="00B37A29">
            <w:pPr>
              <w:spacing w:line="360" w:lineRule="auto"/>
              <w:jc w:val="center"/>
              <w:rPr>
                <w:rFonts w:ascii="GHEA Grapalat" w:eastAsia="Calibri" w:hAnsi="GHEA Grapalat"/>
                <w:b/>
                <w:bCs/>
                <w:color w:val="FFFFFF"/>
                <w:sz w:val="20"/>
                <w:szCs w:val="20"/>
                <w:lang w:val="hy-AM"/>
              </w:rPr>
            </w:pPr>
          </w:p>
        </w:tc>
        <w:tc>
          <w:tcPr>
            <w:tcW w:w="2410" w:type="dxa"/>
            <w:gridSpan w:val="2"/>
            <w:tcBorders>
              <w:top w:val="single" w:sz="4" w:space="0" w:color="4F81BD"/>
              <w:left w:val="nil"/>
              <w:bottom w:val="single" w:sz="4" w:space="0" w:color="4F81BD"/>
              <w:right w:val="nil"/>
            </w:tcBorders>
            <w:shd w:val="clear" w:color="auto" w:fill="4F81BD"/>
            <w:vAlign w:val="center"/>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Ծավալ (մլն ԱՄՆ դոլար)</w:t>
            </w:r>
          </w:p>
        </w:tc>
        <w:tc>
          <w:tcPr>
            <w:tcW w:w="1701" w:type="dxa"/>
            <w:gridSpan w:val="2"/>
            <w:tcBorders>
              <w:top w:val="single" w:sz="4" w:space="0" w:color="4F81BD"/>
              <w:left w:val="nil"/>
              <w:bottom w:val="single" w:sz="4" w:space="0" w:color="4F81BD"/>
              <w:right w:val="nil"/>
            </w:tcBorders>
            <w:shd w:val="clear" w:color="auto" w:fill="4F81BD"/>
            <w:vAlign w:val="center"/>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Կշիռ (տոկոս)</w:t>
            </w:r>
          </w:p>
        </w:tc>
        <w:tc>
          <w:tcPr>
            <w:tcW w:w="1701" w:type="dxa"/>
            <w:gridSpan w:val="2"/>
            <w:tcBorders>
              <w:top w:val="single" w:sz="4" w:space="0" w:color="4F81BD"/>
              <w:left w:val="nil"/>
              <w:bottom w:val="single" w:sz="4" w:space="0" w:color="4F81BD"/>
              <w:right w:val="nil"/>
            </w:tcBorders>
            <w:shd w:val="clear" w:color="auto" w:fill="4F81BD"/>
            <w:vAlign w:val="center"/>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Աճ (տոկոս)</w:t>
            </w:r>
          </w:p>
        </w:tc>
        <w:tc>
          <w:tcPr>
            <w:tcW w:w="2019" w:type="dxa"/>
            <w:gridSpan w:val="2"/>
            <w:tcBorders>
              <w:top w:val="single" w:sz="4" w:space="0" w:color="4F81BD"/>
              <w:left w:val="nil"/>
              <w:bottom w:val="single" w:sz="4" w:space="0" w:color="4F81BD"/>
              <w:right w:val="single" w:sz="4" w:space="0" w:color="4F81BD"/>
            </w:tcBorders>
            <w:shd w:val="clear" w:color="auto" w:fill="4F81BD"/>
            <w:vAlign w:val="center"/>
          </w:tcPr>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Նպաստում</w:t>
            </w:r>
          </w:p>
          <w:p w:rsidR="004500FE" w:rsidRPr="00E57C0E" w:rsidRDefault="004500FE" w:rsidP="00B37A29">
            <w:pPr>
              <w:jc w:val="center"/>
              <w:rPr>
                <w:rFonts w:ascii="GHEA Grapalat" w:eastAsia="Calibri" w:hAnsi="GHEA Grapalat"/>
                <w:b/>
                <w:bCs/>
                <w:color w:val="FFFFFF"/>
                <w:sz w:val="20"/>
                <w:szCs w:val="20"/>
              </w:rPr>
            </w:pPr>
            <w:r w:rsidRPr="00E57C0E">
              <w:rPr>
                <w:rFonts w:ascii="GHEA Grapalat" w:eastAsia="Calibri" w:hAnsi="GHEA Grapalat"/>
                <w:b/>
                <w:bCs/>
                <w:color w:val="FFFFFF"/>
                <w:sz w:val="20"/>
                <w:szCs w:val="20"/>
              </w:rPr>
              <w:t>(տոկոսային կետ)</w:t>
            </w:r>
          </w:p>
        </w:tc>
      </w:tr>
      <w:tr w:rsidR="004500FE" w:rsidRPr="00E57C0E" w:rsidTr="008344C7">
        <w:trPr>
          <w:trHeight w:val="471"/>
        </w:trPr>
        <w:tc>
          <w:tcPr>
            <w:tcW w:w="2660" w:type="dxa"/>
            <w:shd w:val="clear" w:color="auto" w:fill="DBE5F1"/>
            <w:vAlign w:val="center"/>
          </w:tcPr>
          <w:p w:rsidR="004500FE" w:rsidRPr="00E57C0E" w:rsidRDefault="004500FE" w:rsidP="00B37A29">
            <w:pPr>
              <w:spacing w:line="360" w:lineRule="auto"/>
              <w:jc w:val="center"/>
              <w:rPr>
                <w:rFonts w:ascii="GHEA Grapalat" w:eastAsia="Calibri" w:hAnsi="GHEA Grapalat"/>
                <w:b/>
                <w:bCs/>
                <w:sz w:val="20"/>
                <w:szCs w:val="20"/>
              </w:rPr>
            </w:pPr>
          </w:p>
        </w:tc>
        <w:tc>
          <w:tcPr>
            <w:tcW w:w="1276"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p>
        </w:tc>
        <w:tc>
          <w:tcPr>
            <w:tcW w:w="1134"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p>
        </w:tc>
        <w:tc>
          <w:tcPr>
            <w:tcW w:w="850"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r w:rsidRPr="00E57C0E">
              <w:rPr>
                <w:rFonts w:ascii="GHEA Grapalat" w:eastAsia="Calibri" w:hAnsi="GHEA Grapalat"/>
                <w:b/>
                <w:sz w:val="20"/>
                <w:szCs w:val="20"/>
              </w:rPr>
              <w:t>2022</w:t>
            </w:r>
          </w:p>
        </w:tc>
        <w:tc>
          <w:tcPr>
            <w:tcW w:w="851"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r w:rsidRPr="00E57C0E">
              <w:rPr>
                <w:rFonts w:ascii="GHEA Grapalat" w:eastAsia="Calibri" w:hAnsi="GHEA Grapalat"/>
                <w:b/>
                <w:sz w:val="20"/>
                <w:szCs w:val="20"/>
              </w:rPr>
              <w:t>2023</w:t>
            </w:r>
          </w:p>
        </w:tc>
        <w:tc>
          <w:tcPr>
            <w:tcW w:w="850"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r w:rsidRPr="00E57C0E">
              <w:rPr>
                <w:rFonts w:ascii="GHEA Grapalat" w:eastAsia="Calibri" w:hAnsi="GHEA Grapalat"/>
                <w:b/>
                <w:sz w:val="20"/>
                <w:szCs w:val="20"/>
              </w:rPr>
              <w:t>2022</w:t>
            </w:r>
          </w:p>
        </w:tc>
        <w:tc>
          <w:tcPr>
            <w:tcW w:w="851"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r w:rsidRPr="00E57C0E">
              <w:rPr>
                <w:rFonts w:ascii="GHEA Grapalat" w:eastAsia="Calibri" w:hAnsi="GHEA Grapalat"/>
                <w:b/>
                <w:sz w:val="20"/>
                <w:szCs w:val="20"/>
              </w:rPr>
              <w:t>2023</w:t>
            </w:r>
          </w:p>
        </w:tc>
        <w:tc>
          <w:tcPr>
            <w:tcW w:w="992"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r w:rsidRPr="00E57C0E">
              <w:rPr>
                <w:rFonts w:ascii="GHEA Grapalat" w:eastAsia="Calibri" w:hAnsi="GHEA Grapalat"/>
                <w:b/>
                <w:sz w:val="20"/>
                <w:szCs w:val="20"/>
              </w:rPr>
              <w:t>2022</w:t>
            </w:r>
          </w:p>
        </w:tc>
        <w:tc>
          <w:tcPr>
            <w:tcW w:w="1027" w:type="dxa"/>
            <w:shd w:val="clear" w:color="auto" w:fill="DBE5F1"/>
            <w:vAlign w:val="center"/>
          </w:tcPr>
          <w:p w:rsidR="004500FE" w:rsidRPr="00E57C0E" w:rsidRDefault="004500FE" w:rsidP="00B37A29">
            <w:pPr>
              <w:spacing w:line="360" w:lineRule="auto"/>
              <w:jc w:val="center"/>
              <w:rPr>
                <w:rFonts w:ascii="GHEA Grapalat" w:eastAsia="Calibri" w:hAnsi="GHEA Grapalat"/>
                <w:b/>
                <w:sz w:val="20"/>
                <w:szCs w:val="20"/>
              </w:rPr>
            </w:pPr>
            <w:r w:rsidRPr="00E57C0E">
              <w:rPr>
                <w:rFonts w:ascii="GHEA Grapalat" w:eastAsia="Calibri" w:hAnsi="GHEA Grapalat"/>
                <w:b/>
                <w:sz w:val="20"/>
                <w:szCs w:val="20"/>
              </w:rPr>
              <w:t>2023</w:t>
            </w:r>
          </w:p>
        </w:tc>
      </w:tr>
      <w:tr w:rsidR="004500FE" w:rsidRPr="00E57C0E" w:rsidTr="008344C7">
        <w:trPr>
          <w:trHeight w:val="325"/>
        </w:trPr>
        <w:tc>
          <w:tcPr>
            <w:tcW w:w="2660" w:type="dxa"/>
            <w:shd w:val="clear" w:color="auto" w:fill="auto"/>
            <w:vAlign w:val="center"/>
          </w:tcPr>
          <w:p w:rsidR="004500FE" w:rsidRPr="00E57C0E" w:rsidRDefault="004500FE" w:rsidP="00B37A29">
            <w:pPr>
              <w:jc w:val="center"/>
              <w:rPr>
                <w:rFonts w:ascii="GHEA Grapalat" w:eastAsia="Calibri" w:hAnsi="GHEA Grapalat"/>
                <w:bCs/>
                <w:sz w:val="20"/>
                <w:szCs w:val="20"/>
              </w:rPr>
            </w:pPr>
            <w:r w:rsidRPr="00E57C0E">
              <w:rPr>
                <w:rFonts w:ascii="GHEA Grapalat" w:eastAsia="Calibri" w:hAnsi="GHEA Grapalat"/>
                <w:bCs/>
                <w:sz w:val="20"/>
                <w:szCs w:val="20"/>
              </w:rPr>
              <w:t>Ընդամենը</w:t>
            </w:r>
          </w:p>
        </w:tc>
        <w:tc>
          <w:tcPr>
            <w:tcW w:w="1276" w:type="dxa"/>
            <w:vAlign w:val="center"/>
          </w:tcPr>
          <w:p w:rsidR="004500FE" w:rsidRPr="00E57C0E" w:rsidRDefault="004500FE" w:rsidP="00B37A29">
            <w:pPr>
              <w:jc w:val="center"/>
              <w:rPr>
                <w:rFonts w:ascii="GHEA Grapalat" w:eastAsia="Calibri" w:hAnsi="GHEA Grapalat"/>
                <w:b/>
                <w:sz w:val="20"/>
                <w:szCs w:val="20"/>
              </w:rPr>
            </w:pPr>
            <w:r w:rsidRPr="00E57C0E">
              <w:rPr>
                <w:rFonts w:ascii="GHEA Grapalat" w:hAnsi="GHEA Grapalat" w:cs="Arial"/>
                <w:sz w:val="20"/>
                <w:szCs w:val="20"/>
              </w:rPr>
              <w:t>3,256.8</w:t>
            </w:r>
          </w:p>
        </w:tc>
        <w:tc>
          <w:tcPr>
            <w:tcW w:w="1134" w:type="dxa"/>
            <w:vAlign w:val="center"/>
          </w:tcPr>
          <w:p w:rsidR="004500FE" w:rsidRPr="00E57C0E" w:rsidRDefault="004500FE" w:rsidP="00B37A29">
            <w:pPr>
              <w:jc w:val="center"/>
              <w:rPr>
                <w:rFonts w:ascii="GHEA Grapalat" w:eastAsia="Calibri" w:hAnsi="GHEA Grapalat"/>
                <w:b/>
                <w:sz w:val="20"/>
                <w:szCs w:val="20"/>
              </w:rPr>
            </w:pPr>
            <w:r w:rsidRPr="00E57C0E">
              <w:rPr>
                <w:rFonts w:ascii="GHEA Grapalat" w:hAnsi="GHEA Grapalat" w:cs="Arial"/>
                <w:sz w:val="20"/>
                <w:szCs w:val="20"/>
              </w:rPr>
              <w:t>5,632.9</w:t>
            </w:r>
          </w:p>
        </w:tc>
        <w:tc>
          <w:tcPr>
            <w:tcW w:w="850" w:type="dxa"/>
            <w:shd w:val="clear" w:color="auto" w:fill="auto"/>
            <w:vAlign w:val="center"/>
          </w:tcPr>
          <w:p w:rsidR="004500FE" w:rsidRPr="00E57C0E" w:rsidRDefault="004500FE" w:rsidP="00B37A29">
            <w:pPr>
              <w:jc w:val="center"/>
              <w:rPr>
                <w:rFonts w:ascii="GHEA Grapalat" w:eastAsia="Calibri" w:hAnsi="GHEA Grapalat"/>
                <w:b/>
                <w:sz w:val="20"/>
                <w:szCs w:val="20"/>
              </w:rPr>
            </w:pPr>
            <w:r w:rsidRPr="00E57C0E">
              <w:rPr>
                <w:rFonts w:ascii="GHEA Grapalat" w:hAnsi="GHEA Grapalat" w:cs="Arial"/>
                <w:sz w:val="20"/>
                <w:szCs w:val="20"/>
              </w:rPr>
              <w:t xml:space="preserve">100.0 </w:t>
            </w:r>
          </w:p>
        </w:tc>
        <w:tc>
          <w:tcPr>
            <w:tcW w:w="851" w:type="dxa"/>
            <w:shd w:val="clear" w:color="auto" w:fill="auto"/>
            <w:vAlign w:val="center"/>
          </w:tcPr>
          <w:p w:rsidR="004500FE" w:rsidRPr="00E57C0E" w:rsidRDefault="004500FE" w:rsidP="00B37A29">
            <w:pPr>
              <w:jc w:val="center"/>
              <w:rPr>
                <w:rFonts w:ascii="GHEA Grapalat" w:eastAsia="Calibri" w:hAnsi="GHEA Grapalat"/>
                <w:b/>
                <w:sz w:val="20"/>
                <w:szCs w:val="20"/>
              </w:rPr>
            </w:pPr>
            <w:r w:rsidRPr="00E57C0E">
              <w:rPr>
                <w:rFonts w:ascii="GHEA Grapalat" w:hAnsi="GHEA Grapalat" w:cs="Arial"/>
                <w:sz w:val="20"/>
                <w:szCs w:val="20"/>
              </w:rPr>
              <w:t xml:space="preserve">100.0 </w:t>
            </w:r>
          </w:p>
        </w:tc>
        <w:tc>
          <w:tcPr>
            <w:tcW w:w="850" w:type="dxa"/>
            <w:shd w:val="clear" w:color="auto" w:fill="auto"/>
            <w:vAlign w:val="center"/>
          </w:tcPr>
          <w:p w:rsidR="004500FE" w:rsidRPr="00E57C0E" w:rsidRDefault="004500FE" w:rsidP="00B37A29">
            <w:pPr>
              <w:jc w:val="center"/>
              <w:rPr>
                <w:rFonts w:ascii="GHEA Grapalat" w:eastAsia="Calibri" w:hAnsi="GHEA Grapalat"/>
                <w:b/>
                <w:bCs/>
                <w:sz w:val="20"/>
                <w:szCs w:val="20"/>
              </w:rPr>
            </w:pPr>
            <w:r w:rsidRPr="00E57C0E">
              <w:rPr>
                <w:rFonts w:ascii="GHEA Grapalat" w:hAnsi="GHEA Grapalat" w:cs="Arial"/>
                <w:sz w:val="20"/>
                <w:szCs w:val="20"/>
              </w:rPr>
              <w:t xml:space="preserve">48.1 </w:t>
            </w:r>
          </w:p>
        </w:tc>
        <w:tc>
          <w:tcPr>
            <w:tcW w:w="851" w:type="dxa"/>
            <w:shd w:val="clear" w:color="auto" w:fill="auto"/>
            <w:vAlign w:val="center"/>
          </w:tcPr>
          <w:p w:rsidR="004500FE" w:rsidRPr="00E57C0E" w:rsidRDefault="004500FE" w:rsidP="00B37A29">
            <w:pPr>
              <w:jc w:val="center"/>
              <w:rPr>
                <w:rFonts w:ascii="GHEA Grapalat" w:eastAsia="Calibri" w:hAnsi="GHEA Grapalat"/>
                <w:b/>
                <w:bCs/>
                <w:sz w:val="20"/>
                <w:szCs w:val="20"/>
              </w:rPr>
            </w:pPr>
            <w:r w:rsidRPr="00E57C0E">
              <w:rPr>
                <w:rFonts w:ascii="GHEA Grapalat" w:hAnsi="GHEA Grapalat" w:cs="Arial"/>
                <w:sz w:val="20"/>
                <w:szCs w:val="20"/>
              </w:rPr>
              <w:t xml:space="preserve">73.0 </w:t>
            </w:r>
          </w:p>
        </w:tc>
        <w:tc>
          <w:tcPr>
            <w:tcW w:w="992" w:type="dxa"/>
            <w:shd w:val="clear" w:color="auto" w:fill="auto"/>
            <w:vAlign w:val="center"/>
          </w:tcPr>
          <w:p w:rsidR="004500FE" w:rsidRPr="00E57C0E" w:rsidRDefault="004500FE" w:rsidP="00B37A29">
            <w:pPr>
              <w:jc w:val="center"/>
              <w:rPr>
                <w:rFonts w:ascii="GHEA Grapalat" w:eastAsia="Calibri" w:hAnsi="GHEA Grapalat"/>
                <w:b/>
                <w:sz w:val="20"/>
                <w:szCs w:val="20"/>
              </w:rPr>
            </w:pPr>
            <w:r w:rsidRPr="00E57C0E">
              <w:rPr>
                <w:rFonts w:ascii="GHEA Grapalat" w:hAnsi="GHEA Grapalat" w:cs="Arial"/>
                <w:sz w:val="20"/>
                <w:szCs w:val="20"/>
              </w:rPr>
              <w:t xml:space="preserve">48.1 </w:t>
            </w:r>
          </w:p>
        </w:tc>
        <w:tc>
          <w:tcPr>
            <w:tcW w:w="1027" w:type="dxa"/>
            <w:shd w:val="clear" w:color="auto" w:fill="auto"/>
            <w:vAlign w:val="center"/>
          </w:tcPr>
          <w:p w:rsidR="004500FE" w:rsidRPr="00E57C0E" w:rsidRDefault="004500FE" w:rsidP="00B37A29">
            <w:pPr>
              <w:jc w:val="center"/>
              <w:rPr>
                <w:rFonts w:ascii="GHEA Grapalat" w:eastAsia="Calibri" w:hAnsi="GHEA Grapalat"/>
                <w:b/>
                <w:sz w:val="20"/>
                <w:szCs w:val="20"/>
              </w:rPr>
            </w:pPr>
            <w:r w:rsidRPr="00E57C0E">
              <w:rPr>
                <w:rFonts w:ascii="GHEA Grapalat" w:hAnsi="GHEA Grapalat" w:cs="Arial"/>
                <w:sz w:val="20"/>
                <w:szCs w:val="20"/>
              </w:rPr>
              <w:t xml:space="preserve">73.0 </w:t>
            </w:r>
          </w:p>
        </w:tc>
      </w:tr>
      <w:tr w:rsidR="004500FE" w:rsidRPr="00E57C0E" w:rsidTr="008344C7">
        <w:trPr>
          <w:trHeight w:val="308"/>
        </w:trPr>
        <w:tc>
          <w:tcPr>
            <w:tcW w:w="2660" w:type="dxa"/>
            <w:shd w:val="clear" w:color="auto" w:fill="DBE5F1"/>
            <w:vAlign w:val="center"/>
          </w:tcPr>
          <w:p w:rsidR="004500FE" w:rsidRPr="00E57C0E" w:rsidRDefault="004500FE" w:rsidP="00B37A29">
            <w:pPr>
              <w:jc w:val="center"/>
              <w:rPr>
                <w:rFonts w:ascii="GHEA Grapalat" w:eastAsia="Calibri" w:hAnsi="GHEA Grapalat"/>
                <w:bCs/>
                <w:sz w:val="20"/>
                <w:szCs w:val="20"/>
              </w:rPr>
            </w:pPr>
            <w:r w:rsidRPr="00E57C0E">
              <w:rPr>
                <w:rFonts w:ascii="GHEA Grapalat" w:eastAsia="Calibri" w:hAnsi="GHEA Grapalat"/>
                <w:bCs/>
                <w:sz w:val="20"/>
                <w:szCs w:val="20"/>
              </w:rPr>
              <w:t>Վերջնական սպառման ապրանքներ</w:t>
            </w:r>
          </w:p>
        </w:tc>
        <w:tc>
          <w:tcPr>
            <w:tcW w:w="1276" w:type="dxa"/>
            <w:shd w:val="clear" w:color="auto" w:fill="DBE5F1"/>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799.6</w:t>
            </w:r>
          </w:p>
        </w:tc>
        <w:tc>
          <w:tcPr>
            <w:tcW w:w="1134" w:type="dxa"/>
            <w:shd w:val="clear" w:color="auto" w:fill="DBE5F1"/>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1,207.9</w:t>
            </w:r>
          </w:p>
        </w:tc>
        <w:tc>
          <w:tcPr>
            <w:tcW w:w="850"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24.6 </w:t>
            </w:r>
          </w:p>
        </w:tc>
        <w:tc>
          <w:tcPr>
            <w:tcW w:w="851"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21.4 </w:t>
            </w:r>
          </w:p>
        </w:tc>
        <w:tc>
          <w:tcPr>
            <w:tcW w:w="850"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34.6 </w:t>
            </w:r>
          </w:p>
        </w:tc>
        <w:tc>
          <w:tcPr>
            <w:tcW w:w="851"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51.1 </w:t>
            </w:r>
          </w:p>
        </w:tc>
        <w:tc>
          <w:tcPr>
            <w:tcW w:w="992"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9.3 </w:t>
            </w:r>
          </w:p>
        </w:tc>
        <w:tc>
          <w:tcPr>
            <w:tcW w:w="1027"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12.5 </w:t>
            </w:r>
          </w:p>
        </w:tc>
      </w:tr>
      <w:tr w:rsidR="004500FE" w:rsidRPr="00E57C0E" w:rsidTr="008344C7">
        <w:trPr>
          <w:trHeight w:val="325"/>
        </w:trPr>
        <w:tc>
          <w:tcPr>
            <w:tcW w:w="2660" w:type="dxa"/>
            <w:shd w:val="clear" w:color="auto" w:fill="auto"/>
            <w:vAlign w:val="center"/>
          </w:tcPr>
          <w:p w:rsidR="004500FE" w:rsidRPr="00E57C0E" w:rsidRDefault="004500FE" w:rsidP="00B37A29">
            <w:pPr>
              <w:jc w:val="center"/>
              <w:rPr>
                <w:rFonts w:ascii="GHEA Grapalat" w:eastAsia="Calibri" w:hAnsi="GHEA Grapalat"/>
                <w:bCs/>
                <w:sz w:val="20"/>
                <w:szCs w:val="20"/>
              </w:rPr>
            </w:pPr>
            <w:r w:rsidRPr="00E57C0E">
              <w:rPr>
                <w:rFonts w:ascii="GHEA Grapalat" w:eastAsia="Calibri" w:hAnsi="GHEA Grapalat"/>
                <w:bCs/>
                <w:sz w:val="20"/>
                <w:szCs w:val="20"/>
              </w:rPr>
              <w:t>Միջանկյալ սպառման ապրանքներ</w:t>
            </w:r>
          </w:p>
        </w:tc>
        <w:tc>
          <w:tcPr>
            <w:tcW w:w="1276" w:type="dxa"/>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1,824.5</w:t>
            </w:r>
          </w:p>
        </w:tc>
        <w:tc>
          <w:tcPr>
            <w:tcW w:w="1134" w:type="dxa"/>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2,469.9</w:t>
            </w:r>
          </w:p>
        </w:tc>
        <w:tc>
          <w:tcPr>
            <w:tcW w:w="850"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56.0 </w:t>
            </w:r>
          </w:p>
        </w:tc>
        <w:tc>
          <w:tcPr>
            <w:tcW w:w="851"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43.8 </w:t>
            </w:r>
          </w:p>
        </w:tc>
        <w:tc>
          <w:tcPr>
            <w:tcW w:w="850"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49.6 </w:t>
            </w:r>
          </w:p>
        </w:tc>
        <w:tc>
          <w:tcPr>
            <w:tcW w:w="851"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35.4 </w:t>
            </w:r>
          </w:p>
        </w:tc>
        <w:tc>
          <w:tcPr>
            <w:tcW w:w="992"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27.5 </w:t>
            </w:r>
          </w:p>
        </w:tc>
        <w:tc>
          <w:tcPr>
            <w:tcW w:w="1027"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19.8 </w:t>
            </w:r>
          </w:p>
        </w:tc>
      </w:tr>
      <w:tr w:rsidR="004500FE" w:rsidRPr="00E57C0E" w:rsidTr="008344C7">
        <w:trPr>
          <w:trHeight w:val="308"/>
        </w:trPr>
        <w:tc>
          <w:tcPr>
            <w:tcW w:w="2660" w:type="dxa"/>
            <w:shd w:val="clear" w:color="auto" w:fill="DBE5F1"/>
            <w:vAlign w:val="center"/>
          </w:tcPr>
          <w:p w:rsidR="004500FE" w:rsidRPr="00E57C0E" w:rsidRDefault="004500FE" w:rsidP="00B37A29">
            <w:pPr>
              <w:jc w:val="center"/>
              <w:rPr>
                <w:rFonts w:ascii="GHEA Grapalat" w:eastAsia="Calibri" w:hAnsi="GHEA Grapalat"/>
                <w:bCs/>
                <w:sz w:val="20"/>
                <w:szCs w:val="20"/>
              </w:rPr>
            </w:pPr>
            <w:r w:rsidRPr="00E57C0E">
              <w:rPr>
                <w:rFonts w:ascii="GHEA Grapalat" w:eastAsia="Calibri" w:hAnsi="GHEA Grapalat"/>
                <w:bCs/>
                <w:sz w:val="20"/>
                <w:szCs w:val="20"/>
              </w:rPr>
              <w:t>Կապիտալ ապրանքներ</w:t>
            </w:r>
          </w:p>
        </w:tc>
        <w:tc>
          <w:tcPr>
            <w:tcW w:w="1276" w:type="dxa"/>
            <w:shd w:val="clear" w:color="auto" w:fill="DBE5F1"/>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499.4</w:t>
            </w:r>
          </w:p>
        </w:tc>
        <w:tc>
          <w:tcPr>
            <w:tcW w:w="1134" w:type="dxa"/>
            <w:shd w:val="clear" w:color="auto" w:fill="DBE5F1"/>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1,184.6</w:t>
            </w:r>
          </w:p>
        </w:tc>
        <w:tc>
          <w:tcPr>
            <w:tcW w:w="850"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15.3 </w:t>
            </w:r>
          </w:p>
        </w:tc>
        <w:tc>
          <w:tcPr>
            <w:tcW w:w="851"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21.0 </w:t>
            </w:r>
          </w:p>
        </w:tc>
        <w:tc>
          <w:tcPr>
            <w:tcW w:w="850"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44.7 </w:t>
            </w:r>
          </w:p>
        </w:tc>
        <w:tc>
          <w:tcPr>
            <w:tcW w:w="851"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137.2 </w:t>
            </w:r>
          </w:p>
        </w:tc>
        <w:tc>
          <w:tcPr>
            <w:tcW w:w="992"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7.0 </w:t>
            </w:r>
          </w:p>
        </w:tc>
        <w:tc>
          <w:tcPr>
            <w:tcW w:w="1027" w:type="dxa"/>
            <w:shd w:val="clear" w:color="auto" w:fill="DBE5F1"/>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21.0 </w:t>
            </w:r>
          </w:p>
        </w:tc>
      </w:tr>
      <w:tr w:rsidR="004500FE" w:rsidRPr="00E57C0E" w:rsidTr="008344C7">
        <w:trPr>
          <w:trHeight w:val="325"/>
        </w:trPr>
        <w:tc>
          <w:tcPr>
            <w:tcW w:w="2660" w:type="dxa"/>
            <w:shd w:val="clear" w:color="auto" w:fill="auto"/>
            <w:vAlign w:val="center"/>
          </w:tcPr>
          <w:p w:rsidR="004500FE" w:rsidRPr="00E57C0E" w:rsidRDefault="004500FE" w:rsidP="00B37A29">
            <w:pPr>
              <w:jc w:val="center"/>
              <w:rPr>
                <w:rFonts w:ascii="GHEA Grapalat" w:eastAsia="Calibri" w:hAnsi="GHEA Grapalat"/>
                <w:bCs/>
                <w:sz w:val="20"/>
                <w:szCs w:val="20"/>
              </w:rPr>
            </w:pPr>
            <w:r w:rsidRPr="00E57C0E">
              <w:rPr>
                <w:rFonts w:ascii="GHEA Grapalat" w:eastAsia="Calibri" w:hAnsi="GHEA Grapalat"/>
                <w:bCs/>
                <w:sz w:val="20"/>
                <w:szCs w:val="20"/>
              </w:rPr>
              <w:t>Ավտոմեքենա մարդատար</w:t>
            </w:r>
          </w:p>
        </w:tc>
        <w:tc>
          <w:tcPr>
            <w:tcW w:w="1276" w:type="dxa"/>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133.2</w:t>
            </w:r>
          </w:p>
        </w:tc>
        <w:tc>
          <w:tcPr>
            <w:tcW w:w="1134" w:type="dxa"/>
            <w:vAlign w:val="center"/>
          </w:tcPr>
          <w:p w:rsidR="004500FE" w:rsidRPr="00E57C0E" w:rsidRDefault="004500FE" w:rsidP="00B37A29">
            <w:pPr>
              <w:jc w:val="center"/>
              <w:rPr>
                <w:rFonts w:ascii="GHEA Grapalat" w:hAnsi="GHEA Grapalat" w:cs="Arial"/>
                <w:sz w:val="20"/>
                <w:szCs w:val="20"/>
              </w:rPr>
            </w:pPr>
            <w:r w:rsidRPr="00E57C0E">
              <w:rPr>
                <w:rFonts w:ascii="GHEA Grapalat" w:hAnsi="GHEA Grapalat" w:cs="Arial"/>
                <w:sz w:val="20"/>
                <w:szCs w:val="20"/>
              </w:rPr>
              <w:t>770.6</w:t>
            </w:r>
          </w:p>
        </w:tc>
        <w:tc>
          <w:tcPr>
            <w:tcW w:w="850"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4.1 </w:t>
            </w:r>
          </w:p>
        </w:tc>
        <w:tc>
          <w:tcPr>
            <w:tcW w:w="851"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13.7 </w:t>
            </w:r>
          </w:p>
        </w:tc>
        <w:tc>
          <w:tcPr>
            <w:tcW w:w="850"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235.0 </w:t>
            </w:r>
          </w:p>
        </w:tc>
        <w:tc>
          <w:tcPr>
            <w:tcW w:w="851"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478.4 </w:t>
            </w:r>
          </w:p>
        </w:tc>
        <w:tc>
          <w:tcPr>
            <w:tcW w:w="992"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4.2 </w:t>
            </w:r>
          </w:p>
        </w:tc>
        <w:tc>
          <w:tcPr>
            <w:tcW w:w="1027" w:type="dxa"/>
            <w:shd w:val="clear" w:color="auto" w:fill="auto"/>
            <w:vAlign w:val="center"/>
          </w:tcPr>
          <w:p w:rsidR="004500FE" w:rsidRPr="00E57C0E" w:rsidRDefault="004500FE" w:rsidP="00B37A29">
            <w:pPr>
              <w:jc w:val="center"/>
              <w:rPr>
                <w:rFonts w:ascii="GHEA Grapalat" w:eastAsia="Calibri" w:hAnsi="GHEA Grapalat"/>
                <w:sz w:val="20"/>
                <w:szCs w:val="20"/>
              </w:rPr>
            </w:pPr>
            <w:r w:rsidRPr="00E57C0E">
              <w:rPr>
                <w:rFonts w:ascii="GHEA Grapalat" w:hAnsi="GHEA Grapalat" w:cs="Arial"/>
                <w:sz w:val="20"/>
                <w:szCs w:val="20"/>
              </w:rPr>
              <w:t xml:space="preserve">19.6 </w:t>
            </w:r>
          </w:p>
        </w:tc>
      </w:tr>
      <w:bookmarkEnd w:id="4"/>
      <w:bookmarkEnd w:id="5"/>
      <w:bookmarkEnd w:id="6"/>
    </w:tbl>
    <w:p w:rsidR="00D86465" w:rsidRPr="00E57C0E" w:rsidRDefault="00D86465" w:rsidP="00A857DF">
      <w:pPr>
        <w:pStyle w:val="Heading1"/>
        <w:overflowPunct/>
        <w:autoSpaceDE/>
        <w:autoSpaceDN/>
        <w:adjustRightInd/>
        <w:ind w:firstLine="0"/>
        <w:jc w:val="left"/>
        <w:textAlignment w:val="auto"/>
        <w:rPr>
          <w:rFonts w:ascii="GHEA Grapalat" w:hAnsi="GHEA Grapalat" w:cs="GHEA Grapalat"/>
          <w:sz w:val="22"/>
          <w:szCs w:val="22"/>
          <w:lang w:val="hy-AM"/>
        </w:rPr>
      </w:pPr>
    </w:p>
    <w:sectPr w:rsidR="00D86465" w:rsidRPr="00E57C0E" w:rsidSect="00D06624">
      <w:footerReference w:type="default" r:id="rId49"/>
      <w:pgSz w:w="11907" w:h="16840" w:code="9"/>
      <w:pgMar w:top="1134" w:right="567" w:bottom="567" w:left="1134"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7DF" w:rsidRDefault="00A857DF">
      <w:r>
        <w:separator/>
      </w:r>
    </w:p>
  </w:endnote>
  <w:endnote w:type="continuationSeparator" w:id="0">
    <w:p w:rsidR="00A857DF" w:rsidRDefault="00A85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charset w:val="01"/>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erriweather">
    <w:altName w:val="Times New Roman"/>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7DF" w:rsidRPr="00E37514" w:rsidRDefault="00A857DF">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3E0B7E">
      <w:rPr>
        <w:rFonts w:ascii="GHEA Grapalat" w:hAnsi="GHEA Grapalat"/>
        <w:noProof/>
        <w:sz w:val="22"/>
        <w:szCs w:val="22"/>
      </w:rPr>
      <w:t>2</w:t>
    </w:r>
    <w:r w:rsidRPr="00E37514">
      <w:rPr>
        <w:rFonts w:ascii="GHEA Grapalat" w:hAnsi="GHEA Grapalat"/>
        <w:noProof/>
        <w:sz w:val="22"/>
        <w:szCs w:val="22"/>
      </w:rPr>
      <w:fldChar w:fldCharType="end"/>
    </w:r>
  </w:p>
  <w:p w:rsidR="00A857DF" w:rsidRDefault="00A857D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7DF" w:rsidRPr="00E37514" w:rsidRDefault="00A857DF">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3E0B7E">
      <w:rPr>
        <w:rFonts w:ascii="GHEA Grapalat" w:hAnsi="GHEA Grapalat"/>
        <w:noProof/>
        <w:sz w:val="22"/>
        <w:szCs w:val="22"/>
      </w:rPr>
      <w:t>3</w:t>
    </w:r>
    <w:r w:rsidRPr="00E37514">
      <w:rPr>
        <w:rFonts w:ascii="GHEA Grapalat" w:hAnsi="GHEA Grapalat"/>
        <w:noProof/>
        <w:sz w:val="22"/>
        <w:szCs w:val="22"/>
      </w:rPr>
      <w:fldChar w:fldCharType="end"/>
    </w:r>
  </w:p>
  <w:p w:rsidR="00A857DF" w:rsidRDefault="00A857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7DF" w:rsidRDefault="00A857DF">
      <w:r>
        <w:separator/>
      </w:r>
    </w:p>
  </w:footnote>
  <w:footnote w:type="continuationSeparator" w:id="0">
    <w:p w:rsidR="00A857DF" w:rsidRDefault="00A857DF">
      <w:r>
        <w:continuationSeparator/>
      </w:r>
    </w:p>
  </w:footnote>
  <w:footnote w:id="1">
    <w:p w:rsidR="00A857DF" w:rsidRPr="00077EA8" w:rsidRDefault="00A857DF" w:rsidP="00163D29">
      <w:pPr>
        <w:pStyle w:val="FootnoteText"/>
        <w:rPr>
          <w:rFonts w:ascii="GHEA Grapalat" w:hAnsi="GHEA Grapalat"/>
        </w:rPr>
      </w:pPr>
      <w:r w:rsidRPr="00077EA8">
        <w:rPr>
          <w:rStyle w:val="FootnoteReference"/>
          <w:rFonts w:ascii="GHEA Grapalat" w:hAnsi="GHEA Grapalat"/>
          <w:sz w:val="18"/>
        </w:rPr>
        <w:footnoteRef/>
      </w:r>
      <w:r w:rsidRPr="00077EA8">
        <w:rPr>
          <w:rFonts w:ascii="GHEA Grapalat" w:hAnsi="GHEA Grapalat"/>
          <w:sz w:val="18"/>
        </w:rPr>
        <w:t xml:space="preserve"> Աղբյուրը՝ PMI by S&amp;P Global, </w:t>
      </w:r>
      <w:hyperlink r:id="rId1" w:history="1">
        <w:r w:rsidRPr="00077EA8">
          <w:rPr>
            <w:rStyle w:val="Hyperlink"/>
            <w:rFonts w:ascii="GHEA Grapalat" w:hAnsi="GHEA Grapalat"/>
            <w:sz w:val="18"/>
          </w:rPr>
          <w:t>https://www.pmi.spglobal.com/Public/Release/PressReleases?language=en</w:t>
        </w:r>
      </w:hyperlink>
      <w:r w:rsidRPr="00077EA8">
        <w:rPr>
          <w:rFonts w:ascii="GHEA Grapalat" w:hAnsi="GHEA Grapalat"/>
        </w:rPr>
        <w:t xml:space="preserve"> </w:t>
      </w:r>
    </w:p>
  </w:footnote>
  <w:footnote w:id="2">
    <w:p w:rsidR="00A857DF" w:rsidRPr="00E309DA" w:rsidRDefault="00A857DF" w:rsidP="00163D29">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Տնտեսական վերլուծությունների բյուրո, </w:t>
      </w:r>
      <w:hyperlink r:id="rId2" w:history="1">
        <w:r w:rsidRPr="00E309DA">
          <w:rPr>
            <w:rStyle w:val="Hyperlink"/>
            <w:rFonts w:ascii="GHEA Grapalat" w:hAnsi="GHEA Grapalat"/>
            <w:sz w:val="18"/>
            <w:szCs w:val="18"/>
          </w:rPr>
          <w:t>https://www.bea.gov/</w:t>
        </w:r>
      </w:hyperlink>
      <w:r w:rsidRPr="00E309DA">
        <w:rPr>
          <w:rFonts w:ascii="GHEA Grapalat" w:hAnsi="GHEA Grapalat"/>
          <w:sz w:val="18"/>
          <w:szCs w:val="18"/>
        </w:rPr>
        <w:t xml:space="preserve"> </w:t>
      </w:r>
    </w:p>
  </w:footnote>
  <w:footnote w:id="3">
    <w:p w:rsidR="00A857DF" w:rsidRPr="00E309DA" w:rsidRDefault="00A857DF" w:rsidP="00163D29">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Եվրոստատ, </w:t>
      </w:r>
      <w:hyperlink r:id="rId3" w:history="1">
        <w:r w:rsidRPr="00E309DA">
          <w:rPr>
            <w:rStyle w:val="Hyperlink"/>
            <w:rFonts w:ascii="GHEA Grapalat" w:hAnsi="GHEA Grapalat"/>
            <w:sz w:val="18"/>
            <w:szCs w:val="18"/>
          </w:rPr>
          <w:t>https://ec.europa.eu/eurostat/</w:t>
        </w:r>
      </w:hyperlink>
      <w:r w:rsidRPr="00E309DA">
        <w:rPr>
          <w:rFonts w:ascii="GHEA Grapalat" w:hAnsi="GHEA Grapalat"/>
          <w:sz w:val="18"/>
          <w:szCs w:val="18"/>
        </w:rPr>
        <w:t xml:space="preserve"> </w:t>
      </w:r>
    </w:p>
  </w:footnote>
  <w:footnote w:id="4">
    <w:p w:rsidR="00A857DF" w:rsidRPr="00E309DA" w:rsidRDefault="00A857DF" w:rsidP="00163D29">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Չինաստանի վիճակագրության ազգային բյուրո, </w:t>
      </w:r>
      <w:hyperlink r:id="rId4" w:history="1">
        <w:r w:rsidRPr="00E309DA">
          <w:rPr>
            <w:rStyle w:val="Hyperlink"/>
            <w:rFonts w:ascii="GHEA Grapalat" w:hAnsi="GHEA Grapalat"/>
            <w:sz w:val="18"/>
            <w:szCs w:val="18"/>
          </w:rPr>
          <w:t>http://www.stats.gov.cn/</w:t>
        </w:r>
      </w:hyperlink>
      <w:r w:rsidRPr="00E309DA">
        <w:rPr>
          <w:rFonts w:ascii="GHEA Grapalat" w:hAnsi="GHEA Grapalat"/>
          <w:sz w:val="18"/>
          <w:szCs w:val="18"/>
        </w:rPr>
        <w:t xml:space="preserve"> </w:t>
      </w:r>
    </w:p>
  </w:footnote>
  <w:footnote w:id="5">
    <w:p w:rsidR="00A857DF" w:rsidRPr="00DD0504" w:rsidRDefault="00A857DF" w:rsidP="00163D29">
      <w:pPr>
        <w:pStyle w:val="FootnoteText"/>
      </w:pPr>
      <w:r>
        <w:rPr>
          <w:rStyle w:val="FootnoteReference"/>
        </w:rPr>
        <w:footnoteRef/>
      </w:r>
      <w:r>
        <w:t xml:space="preserve"> </w:t>
      </w:r>
      <w:r w:rsidRPr="00E309DA">
        <w:rPr>
          <w:rFonts w:ascii="GHEA Grapalat" w:hAnsi="GHEA Grapalat"/>
          <w:sz w:val="18"/>
          <w:szCs w:val="18"/>
        </w:rPr>
        <w:t xml:space="preserve">Աղբյուրը՝ </w:t>
      </w:r>
      <w:r>
        <w:rPr>
          <w:rFonts w:ascii="GHEA Grapalat" w:hAnsi="GHEA Grapalat"/>
          <w:sz w:val="18"/>
          <w:szCs w:val="18"/>
        </w:rPr>
        <w:t>ՌԴ տնտեսական զարգացման նախարարություն</w:t>
      </w:r>
      <w:r w:rsidRPr="00E309DA">
        <w:rPr>
          <w:rFonts w:ascii="GHEA Grapalat" w:hAnsi="GHEA Grapalat"/>
          <w:sz w:val="18"/>
          <w:szCs w:val="18"/>
        </w:rPr>
        <w:t xml:space="preserve">, </w:t>
      </w:r>
      <w:hyperlink r:id="rId5" w:history="1">
        <w:r w:rsidRPr="00245AAE">
          <w:rPr>
            <w:rStyle w:val="Hyperlink"/>
            <w:rFonts w:ascii="GHEA Grapalat" w:hAnsi="GHEA Grapalat"/>
            <w:sz w:val="18"/>
            <w:szCs w:val="18"/>
          </w:rPr>
          <w:t>https://economy.gov.ru/</w:t>
        </w:r>
      </w:hyperlink>
    </w:p>
  </w:footnote>
  <w:footnote w:id="6">
    <w:p w:rsidR="00A857DF" w:rsidRDefault="00A857DF" w:rsidP="00163D29">
      <w:pPr>
        <w:pStyle w:val="FootnoteText"/>
      </w:pPr>
      <w:r>
        <w:rPr>
          <w:rStyle w:val="FootnoteReference"/>
        </w:rPr>
        <w:footnoteRef/>
      </w:r>
      <w:r>
        <w:t xml:space="preserve"> </w:t>
      </w:r>
      <w:r>
        <w:rPr>
          <w:rFonts w:ascii="GHEA Grapalat" w:hAnsi="GHEA Grapalat"/>
          <w:sz w:val="18"/>
          <w:szCs w:val="18"/>
        </w:rPr>
        <w:t>ՌԴ 2023</w:t>
      </w:r>
      <w:r w:rsidRPr="009511EF">
        <w:rPr>
          <w:rFonts w:ascii="GHEA Grapalat" w:hAnsi="GHEA Grapalat"/>
          <w:sz w:val="18"/>
          <w:szCs w:val="18"/>
        </w:rPr>
        <w:t>թ. երկրորդ եռամսյակի տնտեսական աճի ցուցանիշը նախնական գնահատական է՝ հիմնված տնտեսական ակտիվության ցուցանիշի վրա:</w:t>
      </w:r>
    </w:p>
  </w:footnote>
  <w:footnote w:id="7">
    <w:p w:rsidR="00A857DF" w:rsidRPr="00E309DA" w:rsidRDefault="00A857DF" w:rsidP="00163D29">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ԱՄՆ համար դիտարկվել է դաշնային ֆոնդերի արդյունավետ տոկոսադրույքը, ԵԳ՝ հիմնական վերաֆինանսավորման տոկոսադրույքը, Չինաստան՝ վարկավորման մեկ տարվա տոկոսադրույք (</w:t>
      </w:r>
      <w:r w:rsidRPr="00E309DA">
        <w:rPr>
          <w:rFonts w:ascii="GHEA Grapalat" w:hAnsi="GHEA Grapalat" w:cs="Arial"/>
          <w:color w:val="000000"/>
          <w:sz w:val="18"/>
          <w:szCs w:val="18"/>
          <w:shd w:val="clear" w:color="auto" w:fill="FFFFFF"/>
        </w:rPr>
        <w:t>one-year loan prime rate</w:t>
      </w:r>
      <w:r w:rsidRPr="00E309DA">
        <w:rPr>
          <w:rFonts w:ascii="GHEA Grapalat" w:hAnsi="GHEA Grapalat"/>
          <w:sz w:val="18"/>
          <w:szCs w:val="18"/>
        </w:rPr>
        <w:t>), ՌԴ՝ հիմնական տոկոսադրույքը:</w:t>
      </w:r>
    </w:p>
  </w:footnote>
  <w:footnote w:id="8">
    <w:p w:rsidR="00A857DF" w:rsidRPr="00E309DA" w:rsidRDefault="00A857DF" w:rsidP="00163D29">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Համաշխարհային բանկ, </w:t>
      </w:r>
      <w:hyperlink r:id="rId6" w:history="1">
        <w:r w:rsidRPr="00E309DA">
          <w:rPr>
            <w:rStyle w:val="Hyperlink"/>
            <w:rFonts w:ascii="GHEA Grapalat" w:hAnsi="GHEA Grapalat"/>
            <w:sz w:val="18"/>
            <w:szCs w:val="18"/>
          </w:rPr>
          <w:t>https://www.worldbank.org/en/research/commodity-markets</w:t>
        </w:r>
      </w:hyperlink>
      <w:r w:rsidRPr="00E309DA">
        <w:rPr>
          <w:rFonts w:ascii="GHEA Grapalat" w:hAnsi="GHEA Grapalat"/>
          <w:sz w:val="18"/>
          <w:szCs w:val="18"/>
        </w:rPr>
        <w:t xml:space="preserve"> </w:t>
      </w:r>
    </w:p>
  </w:footnote>
  <w:footnote w:id="9">
    <w:p w:rsidR="00A857DF" w:rsidRPr="004821AA" w:rsidRDefault="00A857DF" w:rsidP="00163D29">
      <w:pPr>
        <w:pStyle w:val="FootnoteText"/>
        <w:rPr>
          <w:rFonts w:ascii="GHEA Grapalat" w:hAnsi="GHEA Grapalat"/>
          <w:sz w:val="18"/>
          <w:szCs w:val="18"/>
        </w:rPr>
      </w:pPr>
      <w:r w:rsidRPr="004821AA">
        <w:rPr>
          <w:rStyle w:val="FootnoteReference"/>
          <w:rFonts w:ascii="GHEA Grapalat" w:hAnsi="GHEA Grapalat"/>
          <w:sz w:val="18"/>
          <w:szCs w:val="18"/>
        </w:rPr>
        <w:footnoteRef/>
      </w:r>
      <w:r w:rsidRPr="004821AA">
        <w:rPr>
          <w:rFonts w:ascii="GHEA Grapalat" w:hAnsi="GHEA Grapalat"/>
          <w:sz w:val="18"/>
          <w:szCs w:val="18"/>
        </w:rPr>
        <w:t xml:space="preserve"> Աղբյուրը՝ ՄԱԿ – ի պարենի և գյուղատնտեսության կազմակերպություն </w:t>
      </w:r>
      <w:hyperlink r:id="rId7" w:history="1">
        <w:r w:rsidRPr="004821AA">
          <w:rPr>
            <w:rStyle w:val="Hyperlink"/>
            <w:rFonts w:ascii="GHEA Grapalat" w:hAnsi="GHEA Grapalat"/>
            <w:sz w:val="18"/>
            <w:szCs w:val="18"/>
          </w:rPr>
          <w:t>https://www.fao.org/worldfoodsituation/foodpricesindex/en/</w:t>
        </w:r>
      </w:hyperlink>
      <w:r w:rsidRPr="004821AA">
        <w:rPr>
          <w:rFonts w:ascii="GHEA Grapalat" w:hAnsi="GHEA Grapalat"/>
          <w:sz w:val="18"/>
          <w:szCs w:val="18"/>
        </w:rPr>
        <w:t xml:space="preserve"> </w:t>
      </w:r>
    </w:p>
  </w:footnote>
  <w:footnote w:id="10">
    <w:p w:rsidR="00A857DF" w:rsidRPr="009221CA" w:rsidRDefault="00A857DF" w:rsidP="00FC3545">
      <w:pPr>
        <w:pStyle w:val="FootnoteText"/>
        <w:rPr>
          <w:rFonts w:ascii="GHEA Grapalat" w:hAnsi="GHEA Grapalat"/>
          <w:sz w:val="18"/>
          <w:szCs w:val="18"/>
        </w:rPr>
      </w:pPr>
      <w:r w:rsidRPr="009221CA">
        <w:rPr>
          <w:rStyle w:val="FootnoteReference"/>
          <w:rFonts w:ascii="GHEA Grapalat" w:hAnsi="GHEA Grapalat"/>
          <w:sz w:val="18"/>
          <w:szCs w:val="18"/>
        </w:rPr>
        <w:footnoteRef/>
      </w:r>
      <w:r w:rsidRPr="009221CA">
        <w:rPr>
          <w:rFonts w:ascii="GHEA Grapalat" w:hAnsi="GHEA Grapalat"/>
          <w:sz w:val="18"/>
          <w:szCs w:val="18"/>
        </w:rPr>
        <w:t xml:space="preserve"> Ճյուղերի մանրամասն ցուցանիշները ներկայացված են Աղյուսակ 1-ում:</w:t>
      </w:r>
    </w:p>
  </w:footnote>
  <w:footnote w:id="11">
    <w:p w:rsidR="00A857DF" w:rsidRPr="009221CA" w:rsidRDefault="00A857DF" w:rsidP="00FC3545">
      <w:pPr>
        <w:pStyle w:val="FootnoteText"/>
        <w:jc w:val="both"/>
        <w:rPr>
          <w:rFonts w:ascii="GHEA Grapalat" w:hAnsi="GHEA Grapalat"/>
          <w:sz w:val="18"/>
          <w:szCs w:val="18"/>
        </w:rPr>
      </w:pPr>
      <w:r w:rsidRPr="009221CA">
        <w:rPr>
          <w:rStyle w:val="FootnoteReference"/>
          <w:rFonts w:ascii="GHEA Grapalat" w:hAnsi="GHEA Grapalat"/>
          <w:sz w:val="18"/>
          <w:szCs w:val="18"/>
        </w:rPr>
        <w:footnoteRef/>
      </w:r>
      <w:r w:rsidRPr="009221CA">
        <w:rPr>
          <w:rFonts w:ascii="GHEA Grapalat" w:hAnsi="GHEA Grapalat"/>
          <w:sz w:val="18"/>
          <w:szCs w:val="18"/>
        </w:rPr>
        <w:t xml:space="preserve"> Պետական բյուջեի կապիտալ ծախսերի և պետական բյուջեի միջոցների հաշվին իրականացված շինարարության ծավալների տարբերությունը, ի թիվս այլ գործոնների, պայմանավորված է նաև արտաքին վարկերով շինարարության իրականացման և պետական բյուջեից ֆինանսավորման ժամկետների տարբերությամբ։</w:t>
      </w:r>
    </w:p>
  </w:footnote>
  <w:footnote w:id="12">
    <w:p w:rsidR="00A857DF" w:rsidRPr="00F5059A" w:rsidRDefault="00A857DF" w:rsidP="00FC3545">
      <w:pPr>
        <w:pStyle w:val="FootnoteText"/>
        <w:jc w:val="both"/>
        <w:rPr>
          <w:rFonts w:ascii="GHEA Grapalat" w:hAnsi="GHEA Grapalat"/>
          <w:sz w:val="18"/>
          <w:szCs w:val="18"/>
        </w:rPr>
      </w:pPr>
      <w:r w:rsidRPr="00F5059A">
        <w:rPr>
          <w:rStyle w:val="FootnoteReference"/>
          <w:rFonts w:ascii="GHEA Grapalat" w:hAnsi="GHEA Grapalat"/>
          <w:sz w:val="18"/>
          <w:szCs w:val="18"/>
        </w:rPr>
        <w:footnoteRef/>
      </w:r>
      <w:r w:rsidRPr="00F5059A">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13">
    <w:p w:rsidR="00A857DF" w:rsidRPr="00F5059A" w:rsidRDefault="00A857DF" w:rsidP="00FC3545">
      <w:pPr>
        <w:pStyle w:val="FootnoteText"/>
        <w:rPr>
          <w:rFonts w:ascii="GHEA Grapalat" w:hAnsi="GHEA Grapalat"/>
          <w:sz w:val="18"/>
          <w:szCs w:val="18"/>
          <w:highlight w:val="yellow"/>
        </w:rPr>
      </w:pPr>
      <w:r w:rsidRPr="00F5059A">
        <w:rPr>
          <w:rStyle w:val="FootnoteReference"/>
          <w:rFonts w:ascii="GHEA Grapalat" w:hAnsi="GHEA Grapalat"/>
          <w:sz w:val="18"/>
          <w:szCs w:val="18"/>
        </w:rPr>
        <w:footnoteRef/>
      </w:r>
      <w:r w:rsidRPr="00F5059A">
        <w:rPr>
          <w:rFonts w:ascii="GHEA Grapalat" w:hAnsi="GHEA Grapalat"/>
          <w:sz w:val="18"/>
          <w:szCs w:val="18"/>
        </w:rPr>
        <w:t xml:space="preserve"> </w:t>
      </w:r>
      <w:r w:rsidRPr="00F5059A">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14">
    <w:p w:rsidR="00A857DF" w:rsidRPr="00F5059A" w:rsidRDefault="00A857DF" w:rsidP="00FC3545">
      <w:pPr>
        <w:jc w:val="both"/>
        <w:rPr>
          <w:rFonts w:ascii="GHEA Grapalat" w:eastAsia="GHEA Grapalat" w:hAnsi="GHEA Grapalat" w:cs="GHEA Grapalat"/>
          <w:color w:val="000000"/>
          <w:sz w:val="18"/>
          <w:szCs w:val="18"/>
          <w:highlight w:val="yellow"/>
        </w:rPr>
      </w:pPr>
      <w:r w:rsidRPr="00F5059A">
        <w:rPr>
          <w:rStyle w:val="FootnoteReference"/>
          <w:rFonts w:ascii="GHEA Grapalat" w:hAnsi="GHEA Grapalat"/>
          <w:sz w:val="18"/>
          <w:szCs w:val="18"/>
        </w:rPr>
        <w:footnoteRef/>
      </w:r>
      <w:r w:rsidRPr="00F5059A">
        <w:rPr>
          <w:rFonts w:ascii="GHEA Grapalat" w:eastAsia="GHEA Grapalat" w:hAnsi="GHEA Grapalat" w:cs="GHEA Grapalat"/>
          <w:color w:val="000000"/>
          <w:sz w:val="18"/>
          <w:szCs w:val="18"/>
        </w:rPr>
        <w:t xml:space="preserve"> </w:t>
      </w:r>
      <w:r w:rsidRPr="00F5059A">
        <w:rPr>
          <w:rFonts w:ascii="GHEA Grapalat" w:eastAsia="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15">
    <w:p w:rsidR="00A857DF" w:rsidRPr="00064143" w:rsidRDefault="00A857DF" w:rsidP="00FC3545">
      <w:pPr>
        <w:jc w:val="both"/>
        <w:rPr>
          <w:rFonts w:ascii="GHEA Grapalat" w:eastAsia="GHEA Grapalat" w:hAnsi="GHEA Grapalat"/>
          <w:color w:val="000000"/>
          <w:sz w:val="18"/>
          <w:szCs w:val="18"/>
        </w:rPr>
      </w:pPr>
      <w:r w:rsidRPr="00064143">
        <w:rPr>
          <w:rFonts w:ascii="GHEA Grapalat" w:eastAsia="GHEA Grapalat" w:hAnsi="GHEA Grapalat"/>
          <w:color w:val="000000"/>
          <w:sz w:val="18"/>
          <w:szCs w:val="18"/>
          <w:vertAlign w:val="superscript"/>
        </w:rPr>
        <w:footnoteRef/>
      </w:r>
      <w:r w:rsidRPr="00064143">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6">
    <w:p w:rsidR="00A857DF" w:rsidRPr="008C4940" w:rsidRDefault="00A857DF" w:rsidP="00001922">
      <w:pPr>
        <w:pBdr>
          <w:top w:val="nil"/>
          <w:left w:val="nil"/>
          <w:bottom w:val="nil"/>
          <w:right w:val="nil"/>
          <w:between w:val="nil"/>
        </w:pBdr>
        <w:jc w:val="both"/>
        <w:rPr>
          <w:rFonts w:ascii="GHEA Grapalat" w:hAnsi="GHEA Grapalat"/>
          <w:sz w:val="18"/>
          <w:szCs w:val="18"/>
        </w:rPr>
      </w:pPr>
      <w:r w:rsidRPr="008C4940">
        <w:rPr>
          <w:rStyle w:val="FootnoteReference"/>
          <w:rFonts w:ascii="GHEA Grapalat" w:hAnsi="GHEA Grapalat"/>
          <w:sz w:val="18"/>
          <w:szCs w:val="18"/>
        </w:rPr>
        <w:footnoteRef/>
      </w:r>
      <w:r w:rsidRPr="008C4940">
        <w:rPr>
          <w:rFonts w:ascii="GHEA Grapalat" w:eastAsia="GHEA Grapalat" w:hAnsi="GHEA Grapalat" w:cs="GHEA Grapalat"/>
          <w:color w:val="000000"/>
          <w:sz w:val="18"/>
          <w:szCs w:val="18"/>
        </w:rPr>
        <w:t xml:space="preserve"> </w:t>
      </w:r>
      <w:r w:rsidRPr="008C4940">
        <w:rPr>
          <w:rFonts w:ascii="GHEA Grapalat" w:hAnsi="GHEA Grapalat"/>
          <w:sz w:val="18"/>
          <w:szCs w:val="18"/>
        </w:rPr>
        <w:t xml:space="preserve">Ներմուծման տվյալները ներկայացված են ՍԻՖ գներով: </w:t>
      </w:r>
    </w:p>
  </w:footnote>
  <w:footnote w:id="17">
    <w:p w:rsidR="00A857DF" w:rsidRPr="008C4940" w:rsidRDefault="00A857DF" w:rsidP="00001922">
      <w:pPr>
        <w:pStyle w:val="FootnoteText"/>
        <w:rPr>
          <w:rFonts w:ascii="GHEA Grapalat" w:eastAsia="GHEA Grapalat" w:hAnsi="GHEA Grapalat" w:cs="GHEA Grapalat"/>
          <w:color w:val="000000"/>
          <w:sz w:val="18"/>
          <w:szCs w:val="18"/>
        </w:rPr>
      </w:pPr>
      <w:r w:rsidRPr="008C4940">
        <w:rPr>
          <w:rStyle w:val="FootnoteReference"/>
          <w:rFonts w:ascii="GHEA Grapalat" w:hAnsi="GHEA Grapalat"/>
          <w:sz w:val="18"/>
          <w:szCs w:val="18"/>
        </w:rPr>
        <w:footnoteRef/>
      </w:r>
      <w:r w:rsidRPr="008C4940">
        <w:rPr>
          <w:rFonts w:ascii="GHEA Grapalat" w:hAnsi="GHEA Grapalat"/>
          <w:sz w:val="18"/>
          <w:szCs w:val="18"/>
        </w:rPr>
        <w:t xml:space="preserve"> </w:t>
      </w:r>
      <w:r w:rsidRPr="008C4940">
        <w:rPr>
          <w:rFonts w:ascii="GHEA Grapalat" w:eastAsia="GHEA Grapalat" w:hAnsi="GHEA Grapalat" w:cs="GHEA Grapalat"/>
          <w:color w:val="000000"/>
          <w:sz w:val="18"/>
          <w:szCs w:val="18"/>
        </w:rPr>
        <w:t>Աղբյուրը` ՀՀ վիճակագրական կո</w:t>
      </w:r>
      <w:r>
        <w:rPr>
          <w:rFonts w:ascii="GHEA Grapalat" w:eastAsia="GHEA Grapalat" w:hAnsi="GHEA Grapalat" w:cs="GHEA Grapalat"/>
          <w:color w:val="000000"/>
          <w:sz w:val="18"/>
          <w:szCs w:val="18"/>
        </w:rPr>
        <w:t>մ</w:t>
      </w:r>
      <w:r w:rsidRPr="008C4940">
        <w:rPr>
          <w:rFonts w:ascii="GHEA Grapalat" w:eastAsia="GHEA Grapalat" w:hAnsi="GHEA Grapalat" w:cs="GHEA Grapalat"/>
          <w:color w:val="000000"/>
          <w:sz w:val="18"/>
          <w:szCs w:val="18"/>
        </w:rPr>
        <w:t>իտե, «Հայաստանի Հանրապետության սոցիալ-տնտեսական վիճակը» ամսական զեկույցներ:</w:t>
      </w:r>
    </w:p>
  </w:footnote>
  <w:footnote w:id="18">
    <w:p w:rsidR="00A857DF" w:rsidRPr="0061427C" w:rsidRDefault="00A857DF" w:rsidP="00001922">
      <w:pPr>
        <w:pStyle w:val="FootnoteText"/>
        <w:rPr>
          <w:rFonts w:ascii="GHEA Grapalat" w:hAnsi="GHEA Grapalat"/>
          <w:iCs/>
          <w:sz w:val="18"/>
          <w:szCs w:val="18"/>
        </w:rPr>
      </w:pPr>
      <w:r w:rsidRPr="0061427C">
        <w:rPr>
          <w:rStyle w:val="FootnoteReference"/>
          <w:rFonts w:ascii="GHEA Grapalat" w:hAnsi="GHEA Grapalat"/>
          <w:iCs/>
          <w:sz w:val="18"/>
          <w:szCs w:val="18"/>
        </w:rPr>
        <w:footnoteRef/>
      </w:r>
      <w:r w:rsidRPr="0061427C">
        <w:rPr>
          <w:rFonts w:ascii="GHEA Grapalat" w:hAnsi="GHEA Grapalat"/>
          <w:iCs/>
          <w:sz w:val="18"/>
          <w:szCs w:val="18"/>
        </w:rPr>
        <w:t xml:space="preserve"> </w:t>
      </w:r>
      <w:r w:rsidRPr="0061427C">
        <w:rPr>
          <w:rFonts w:ascii="GHEA Grapalat" w:eastAsia="GHEA Grapalat" w:hAnsi="GHEA Grapalat" w:cs="GHEA Grapalat"/>
          <w:iCs/>
          <w:color w:val="000000"/>
          <w:sz w:val="18"/>
          <w:szCs w:val="18"/>
        </w:rPr>
        <w:t xml:space="preserve">Մանրամասն ցուցանիշները ներկայացված են </w:t>
      </w:r>
      <w:r>
        <w:rPr>
          <w:rFonts w:ascii="GHEA Grapalat" w:eastAsia="GHEA Grapalat" w:hAnsi="GHEA Grapalat" w:cs="GHEA Grapalat"/>
          <w:iCs/>
          <w:color w:val="000000"/>
          <w:sz w:val="18"/>
          <w:szCs w:val="18"/>
        </w:rPr>
        <w:t>Աղյուսակ 1-</w:t>
      </w:r>
      <w:r w:rsidRPr="0061427C">
        <w:rPr>
          <w:rFonts w:ascii="GHEA Grapalat" w:eastAsia="GHEA Grapalat" w:hAnsi="GHEA Grapalat" w:cs="GHEA Grapalat"/>
          <w:iCs/>
          <w:color w:val="000000"/>
          <w:sz w:val="18"/>
          <w:szCs w:val="18"/>
        </w:rPr>
        <w:t>ում:</w:t>
      </w:r>
    </w:p>
  </w:footnote>
  <w:footnote w:id="19">
    <w:p w:rsidR="00A857DF" w:rsidRPr="0061427C" w:rsidRDefault="00A857DF" w:rsidP="00001922">
      <w:pPr>
        <w:jc w:val="both"/>
        <w:rPr>
          <w:rFonts w:ascii="GHEA Grapalat" w:eastAsia="Merriweather" w:hAnsi="GHEA Grapalat" w:cs="Merriweather"/>
          <w:iCs/>
          <w:color w:val="000000"/>
          <w:sz w:val="18"/>
          <w:szCs w:val="18"/>
        </w:rPr>
      </w:pPr>
      <w:r w:rsidRPr="0061427C">
        <w:rPr>
          <w:rStyle w:val="FootnoteReference"/>
          <w:rFonts w:ascii="GHEA Grapalat" w:hAnsi="GHEA Grapalat"/>
          <w:iCs/>
          <w:sz w:val="18"/>
          <w:szCs w:val="18"/>
        </w:rPr>
        <w:footnoteRef/>
      </w:r>
      <w:r w:rsidRPr="0061427C">
        <w:rPr>
          <w:rFonts w:ascii="GHEA Grapalat" w:hAnsi="GHEA Grapalat"/>
          <w:iCs/>
          <w:color w:val="000000"/>
          <w:sz w:val="18"/>
          <w:szCs w:val="18"/>
        </w:rPr>
        <w:t xml:space="preserve"> </w:t>
      </w:r>
      <w:r w:rsidRPr="0061427C">
        <w:rPr>
          <w:rFonts w:ascii="GHEA Grapalat" w:eastAsia="GHEA Grapalat" w:hAnsi="GHEA Grapalat" w:cs="GHEA Grapalat"/>
          <w:iCs/>
          <w:color w:val="000000"/>
          <w:sz w:val="18"/>
          <w:szCs w:val="18"/>
        </w:rPr>
        <w:t>Ապրանքների լայն տնտեսական դասակարգմամբ</w:t>
      </w:r>
      <w:r>
        <w:rPr>
          <w:rFonts w:ascii="GHEA Grapalat" w:eastAsia="GHEA Grapalat" w:hAnsi="GHEA Grapalat" w:cs="GHEA Grapalat"/>
          <w:iCs/>
          <w:color w:val="000000"/>
          <w:sz w:val="18"/>
          <w:szCs w:val="18"/>
        </w:rPr>
        <w:t xml:space="preserve"> (BEC) տվ</w:t>
      </w:r>
      <w:r w:rsidRPr="0061427C">
        <w:rPr>
          <w:rFonts w:ascii="GHEA Grapalat" w:eastAsia="GHEA Grapalat" w:hAnsi="GHEA Grapalat" w:cs="GHEA Grapalat"/>
          <w:iCs/>
          <w:color w:val="000000"/>
          <w:sz w:val="18"/>
          <w:szCs w:val="18"/>
        </w:rPr>
        <w:t>յալները ՀՀ ՖՆ գնահատականներ</w:t>
      </w:r>
      <w:r>
        <w:rPr>
          <w:rFonts w:ascii="GHEA Grapalat" w:eastAsia="GHEA Grapalat" w:hAnsi="GHEA Grapalat" w:cs="GHEA Grapalat"/>
          <w:iCs/>
          <w:color w:val="000000"/>
          <w:sz w:val="18"/>
          <w:szCs w:val="18"/>
        </w:rPr>
        <w:t>ն են</w:t>
      </w:r>
      <w:r w:rsidRPr="0061427C">
        <w:rPr>
          <w:rFonts w:ascii="GHEA Grapalat" w:eastAsia="GHEA Grapalat" w:hAnsi="GHEA Grapalat" w:cs="GHEA Grapalat"/>
          <w:iCs/>
          <w:color w:val="000000"/>
          <w:sz w:val="18"/>
          <w:szCs w:val="18"/>
        </w:rPr>
        <w:t xml:space="preserve"> (կիրառվել են արտաքին առևտրի 4-անիշ վիճակագրությունից BEC-ին անցման միջազգային փորձում ընդունված անցումային բանալիներ):</w:t>
      </w:r>
    </w:p>
  </w:footnote>
  <w:footnote w:id="20">
    <w:p w:rsidR="00A857DF" w:rsidRPr="0061427C" w:rsidRDefault="00A857DF" w:rsidP="00001922">
      <w:pPr>
        <w:pStyle w:val="FootnoteText"/>
        <w:rPr>
          <w:rFonts w:ascii="GHEA Grapalat" w:hAnsi="GHEA Grapalat"/>
          <w:iCs/>
          <w:sz w:val="18"/>
          <w:szCs w:val="18"/>
        </w:rPr>
      </w:pPr>
      <w:r w:rsidRPr="0061427C">
        <w:rPr>
          <w:rStyle w:val="FootnoteReference"/>
          <w:rFonts w:ascii="GHEA Grapalat" w:hAnsi="GHEA Grapalat"/>
          <w:iCs/>
          <w:sz w:val="18"/>
          <w:szCs w:val="18"/>
        </w:rPr>
        <w:footnoteRef/>
      </w:r>
      <w:r w:rsidRPr="0061427C">
        <w:rPr>
          <w:rFonts w:ascii="GHEA Grapalat" w:hAnsi="GHEA Grapalat"/>
          <w:iCs/>
          <w:sz w:val="18"/>
          <w:szCs w:val="18"/>
        </w:rPr>
        <w:t xml:space="preserve"> </w:t>
      </w:r>
      <w:r w:rsidRPr="0061427C">
        <w:rPr>
          <w:rFonts w:ascii="GHEA Grapalat" w:eastAsia="GHEA Grapalat" w:hAnsi="GHEA Grapalat" w:cs="GHEA Grapalat"/>
          <w:iCs/>
          <w:color w:val="000000"/>
          <w:sz w:val="18"/>
          <w:szCs w:val="18"/>
        </w:rPr>
        <w:t xml:space="preserve">Մանրամասն ցուցանիշները ներկայացված են </w:t>
      </w:r>
      <w:r>
        <w:rPr>
          <w:rFonts w:ascii="GHEA Grapalat" w:eastAsia="GHEA Grapalat" w:hAnsi="GHEA Grapalat" w:cs="GHEA Grapalat"/>
          <w:iCs/>
          <w:color w:val="000000"/>
          <w:sz w:val="18"/>
          <w:szCs w:val="18"/>
        </w:rPr>
        <w:t>Աղյուսակ 1-</w:t>
      </w:r>
      <w:r w:rsidRPr="0061427C">
        <w:rPr>
          <w:rFonts w:ascii="GHEA Grapalat" w:eastAsia="GHEA Grapalat" w:hAnsi="GHEA Grapalat" w:cs="GHEA Grapalat"/>
          <w:iCs/>
          <w:color w:val="000000"/>
          <w:sz w:val="18"/>
          <w:szCs w:val="18"/>
        </w:rPr>
        <w:t>ում:</w:t>
      </w:r>
    </w:p>
  </w:footnote>
  <w:footnote w:id="21">
    <w:p w:rsidR="00A857DF" w:rsidRPr="00606D99" w:rsidRDefault="00A857DF" w:rsidP="00606D99">
      <w:pPr>
        <w:pStyle w:val="FootnoteText"/>
        <w:jc w:val="both"/>
        <w:rPr>
          <w:rFonts w:ascii="GHEA Grapalat" w:hAnsi="GHEA Grapalat"/>
          <w:sz w:val="18"/>
          <w:szCs w:val="18"/>
        </w:rPr>
      </w:pPr>
      <w:r w:rsidRPr="00606D99">
        <w:rPr>
          <w:rStyle w:val="FootnoteReference"/>
          <w:rFonts w:ascii="GHEA Grapalat" w:hAnsi="GHEA Grapalat"/>
          <w:sz w:val="18"/>
          <w:szCs w:val="18"/>
        </w:rPr>
        <w:footnoteRef/>
      </w:r>
      <w:r w:rsidRPr="00606D99">
        <w:rPr>
          <w:rFonts w:ascii="GHEA Grapalat" w:hAnsi="GHEA Grapalat"/>
          <w:sz w:val="18"/>
          <w:szCs w:val="18"/>
        </w:rPr>
        <w:t xml:space="preserve"> </w:t>
      </w:r>
      <w:r w:rsidRPr="00606D99">
        <w:rPr>
          <w:rFonts w:ascii="GHEA Grapalat" w:hAnsi="GHEA Grapalat" w:cs="Sylfaen"/>
          <w:sz w:val="18"/>
          <w:szCs w:val="18"/>
        </w:rPr>
        <w:t>Աղբյուր՝ ՀՀ ԿԲ:</w:t>
      </w:r>
    </w:p>
  </w:footnote>
  <w:footnote w:id="22">
    <w:p w:rsidR="00A857DF" w:rsidRPr="002C0630" w:rsidRDefault="00A857DF" w:rsidP="00695CFA">
      <w:pPr>
        <w:pStyle w:val="FootnoteText"/>
        <w:tabs>
          <w:tab w:val="left" w:pos="142"/>
        </w:tabs>
        <w:jc w:val="both"/>
        <w:rPr>
          <w:rFonts w:ascii="GHEA Grapalat" w:hAnsi="GHEA Grapalat" w:cs="Sylfaen"/>
          <w:sz w:val="18"/>
          <w:szCs w:val="18"/>
        </w:rPr>
      </w:pPr>
      <w:r w:rsidRPr="00583AC3">
        <w:rPr>
          <w:rStyle w:val="FootnoteReference"/>
          <w:rFonts w:ascii="GHEA Grapalat" w:hAnsi="GHEA Grapalat"/>
          <w:sz w:val="18"/>
          <w:szCs w:val="18"/>
        </w:rPr>
        <w:footnoteRef/>
      </w:r>
      <w:r w:rsidRPr="002C0630">
        <w:rPr>
          <w:rFonts w:ascii="GHEA Grapalat" w:eastAsia="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23">
    <w:p w:rsidR="00A857DF" w:rsidRPr="002C0630" w:rsidRDefault="00A857DF" w:rsidP="00695CFA">
      <w:pPr>
        <w:pStyle w:val="FootnoteText"/>
        <w:jc w:val="both"/>
        <w:rPr>
          <w:rFonts w:ascii="GHEA Grapalat" w:hAnsi="GHEA Grapalat"/>
        </w:rPr>
      </w:pPr>
      <w:r w:rsidRPr="007E72A4">
        <w:rPr>
          <w:rStyle w:val="FootnoteReference"/>
          <w:rFonts w:ascii="GHEA Grapalat" w:hAnsi="GHEA Grapalat"/>
          <w:sz w:val="18"/>
          <w:szCs w:val="18"/>
        </w:rPr>
        <w:footnoteRef/>
      </w:r>
      <w:r w:rsidRPr="002C0630">
        <w:rPr>
          <w:rFonts w:ascii="GHEA Grapalat" w:hAnsi="GHEA Grapalat"/>
          <w:sz w:val="18"/>
          <w:szCs w:val="18"/>
        </w:rPr>
        <w:t xml:space="preserve"> Աղբյուրը՝ ՀՀ ԿԲ և ՀՀ ՖՆ հաշվարկներ: </w:t>
      </w:r>
      <w:r>
        <w:rPr>
          <w:rFonts w:ascii="GHEA Grapalat" w:hAnsi="GHEA Grapalat"/>
          <w:sz w:val="18"/>
          <w:szCs w:val="18"/>
        </w:rPr>
        <w:t>Ա</w:t>
      </w:r>
      <w:r w:rsidRPr="002C0630">
        <w:rPr>
          <w:rFonts w:ascii="GHEA Grapalat" w:hAnsi="GHEA Grapalat"/>
          <w:sz w:val="18"/>
          <w:szCs w:val="18"/>
        </w:rPr>
        <w:t>ռանց դրամի արժևորման վարկերի և ավանդների աճի տեմպերը ՀՀ ՖՆ գնահատականն են՝ արտարժութային վարկերի և ավանդների հաշվարկի համար հիմք ընդունելով 2022</w:t>
      </w:r>
      <w:r>
        <w:rPr>
          <w:rFonts w:ascii="GHEA Grapalat" w:hAnsi="GHEA Grapalat"/>
          <w:sz w:val="18"/>
          <w:szCs w:val="18"/>
        </w:rPr>
        <w:t xml:space="preserve"> </w:t>
      </w:r>
      <w:r w:rsidRPr="002C0630">
        <w:rPr>
          <w:rFonts w:ascii="GHEA Grapalat" w:hAnsi="GHEA Grapalat"/>
          <w:sz w:val="18"/>
          <w:szCs w:val="18"/>
        </w:rPr>
        <w:t>թ</w:t>
      </w:r>
      <w:r>
        <w:rPr>
          <w:rFonts w:ascii="GHEA Grapalat" w:hAnsi="GHEA Grapalat"/>
          <w:sz w:val="18"/>
          <w:szCs w:val="18"/>
        </w:rPr>
        <w:t>վական</w:t>
      </w:r>
      <w:r w:rsidRPr="002C0630">
        <w:rPr>
          <w:rFonts w:ascii="GHEA Grapalat" w:hAnsi="GHEA Grapalat" w:cs="GHEA Grapalat"/>
          <w:sz w:val="18"/>
          <w:szCs w:val="18"/>
        </w:rPr>
        <w:t>ի</w:t>
      </w:r>
      <w:r w:rsidRPr="002C0630">
        <w:rPr>
          <w:rFonts w:ascii="GHEA Grapalat" w:hAnsi="GHEA Grapalat"/>
          <w:sz w:val="18"/>
          <w:szCs w:val="18"/>
        </w:rPr>
        <w:t xml:space="preserve"> </w:t>
      </w:r>
      <w:r w:rsidRPr="002C0630">
        <w:rPr>
          <w:rFonts w:ascii="GHEA Grapalat" w:hAnsi="GHEA Grapalat" w:cs="GHEA Grapalat"/>
          <w:sz w:val="18"/>
          <w:szCs w:val="18"/>
        </w:rPr>
        <w:t>փետրվարի</w:t>
      </w:r>
      <w:r w:rsidRPr="002C0630">
        <w:rPr>
          <w:rFonts w:ascii="GHEA Grapalat" w:hAnsi="GHEA Grapalat"/>
          <w:sz w:val="18"/>
          <w:szCs w:val="18"/>
        </w:rPr>
        <w:t xml:space="preserve"> </w:t>
      </w:r>
      <w:r w:rsidRPr="002C0630">
        <w:rPr>
          <w:rFonts w:ascii="GHEA Grapalat" w:hAnsi="GHEA Grapalat" w:cs="GHEA Grapalat"/>
          <w:sz w:val="18"/>
          <w:szCs w:val="18"/>
        </w:rPr>
        <w:t>վերջի</w:t>
      </w:r>
      <w:r w:rsidRPr="002C0630">
        <w:rPr>
          <w:rFonts w:ascii="GHEA Grapalat" w:hAnsi="GHEA Grapalat"/>
          <w:sz w:val="18"/>
          <w:szCs w:val="18"/>
        </w:rPr>
        <w:t xml:space="preserve"> </w:t>
      </w:r>
      <w:r w:rsidRPr="002C0630">
        <w:rPr>
          <w:rFonts w:ascii="GHEA Grapalat" w:hAnsi="GHEA Grapalat" w:cs="GHEA Grapalat"/>
          <w:sz w:val="18"/>
          <w:szCs w:val="18"/>
        </w:rPr>
        <w:t>ԱՄՆ</w:t>
      </w:r>
      <w:r w:rsidRPr="002C0630">
        <w:rPr>
          <w:rFonts w:ascii="GHEA Grapalat" w:hAnsi="GHEA Grapalat"/>
          <w:sz w:val="18"/>
          <w:szCs w:val="18"/>
        </w:rPr>
        <w:t xml:space="preserve"> </w:t>
      </w:r>
      <w:r w:rsidRPr="002C0630">
        <w:rPr>
          <w:rFonts w:ascii="GHEA Grapalat" w:hAnsi="GHEA Grapalat" w:cs="GHEA Grapalat"/>
          <w:sz w:val="18"/>
          <w:szCs w:val="18"/>
        </w:rPr>
        <w:t>դոլար</w:t>
      </w:r>
      <w:r w:rsidRPr="002C0630">
        <w:rPr>
          <w:rFonts w:ascii="GHEA Grapalat" w:hAnsi="GHEA Grapalat"/>
          <w:sz w:val="18"/>
          <w:szCs w:val="18"/>
        </w:rPr>
        <w:t>/</w:t>
      </w:r>
      <w:r w:rsidRPr="002C0630">
        <w:rPr>
          <w:rFonts w:ascii="GHEA Grapalat" w:hAnsi="GHEA Grapalat" w:cs="GHEA Grapalat"/>
          <w:sz w:val="18"/>
          <w:szCs w:val="18"/>
        </w:rPr>
        <w:t>ՀՀ</w:t>
      </w:r>
      <w:r w:rsidRPr="002C0630">
        <w:rPr>
          <w:rFonts w:ascii="GHEA Grapalat" w:hAnsi="GHEA Grapalat"/>
          <w:sz w:val="18"/>
          <w:szCs w:val="18"/>
        </w:rPr>
        <w:t xml:space="preserve"> </w:t>
      </w:r>
      <w:r w:rsidRPr="002C0630">
        <w:rPr>
          <w:rFonts w:ascii="GHEA Grapalat" w:hAnsi="GHEA Grapalat" w:cs="GHEA Grapalat"/>
          <w:sz w:val="18"/>
          <w:szCs w:val="18"/>
        </w:rPr>
        <w:t>դրամ</w:t>
      </w:r>
      <w:r w:rsidRPr="002C0630">
        <w:rPr>
          <w:rFonts w:ascii="GHEA Grapalat" w:hAnsi="GHEA Grapalat"/>
          <w:sz w:val="18"/>
          <w:szCs w:val="18"/>
        </w:rPr>
        <w:t xml:space="preserve"> փոխարժեքը։</w:t>
      </w:r>
    </w:p>
  </w:footnote>
  <w:footnote w:id="24">
    <w:p w:rsidR="00A857DF" w:rsidRPr="00B57DAB" w:rsidRDefault="00A857DF" w:rsidP="00695CFA">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B57DAB">
        <w:rPr>
          <w:rFonts w:ascii="GHEA Grapalat" w:hAnsi="GHEA Grapalat"/>
          <w:sz w:val="18"/>
          <w:szCs w:val="18"/>
        </w:rPr>
        <w:t xml:space="preserve"> </w:t>
      </w:r>
      <w:r w:rsidRPr="00B57DAB">
        <w:rPr>
          <w:rFonts w:ascii="GHEA Grapalat" w:eastAsia="GHEA Grapalat" w:hAnsi="GHEA Grapalat" w:cs="GHEA Grapalat"/>
          <w:color w:val="000000"/>
          <w:sz w:val="18"/>
          <w:szCs w:val="18"/>
        </w:rPr>
        <w:t>Աղբյուրը՝ ՀՀ ՖՆ գնահատական</w:t>
      </w:r>
    </w:p>
    <w:p w:rsidR="00A857DF" w:rsidRPr="00B57DAB" w:rsidRDefault="00A857DF" w:rsidP="00695CFA">
      <w:pPr>
        <w:pStyle w:val="FootnoteText"/>
        <w:jc w:val="both"/>
        <w:rPr>
          <w:rFonts w:ascii="GHEA Grapalat" w:hAnsi="GHEA Grapalat"/>
          <w:sz w:val="18"/>
          <w:szCs w:val="18"/>
        </w:rPr>
      </w:pPr>
      <w:r w:rsidRPr="00B57DAB">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Ծախսերում ներառվել են Covid-19-ին ուղղված վարկավ</w:t>
      </w:r>
      <w:r>
        <w:rPr>
          <w:rFonts w:ascii="GHEA Grapalat" w:eastAsia="GHEA Grapalat" w:hAnsi="GHEA Grapalat" w:cs="GHEA Grapalat"/>
          <w:color w:val="000000"/>
          <w:sz w:val="18"/>
          <w:szCs w:val="18"/>
        </w:rPr>
        <w:t>ո</w:t>
      </w:r>
      <w:r w:rsidRPr="00B57DAB">
        <w:rPr>
          <w:rFonts w:ascii="GHEA Grapalat" w:eastAsia="GHEA Grapalat" w:hAnsi="GHEA Grapalat" w:cs="GHEA Grapalat"/>
          <w:color w:val="000000"/>
          <w:sz w:val="18"/>
          <w:szCs w:val="18"/>
        </w:rPr>
        <w:t>րման գումարները:</w:t>
      </w:r>
    </w:p>
  </w:footnote>
  <w:footnote w:id="25">
    <w:p w:rsidR="00A857DF" w:rsidRPr="00061A8F" w:rsidRDefault="00A857DF" w:rsidP="00AA791E">
      <w:pPr>
        <w:pStyle w:val="FootnoteText"/>
        <w:rPr>
          <w:rFonts w:ascii="GHEA Grapalat" w:eastAsia="GHEA Grapalat" w:hAnsi="GHEA Grapalat" w:cs="GHEA Grapalat"/>
          <w:i/>
          <w:color w:val="000000"/>
          <w:sz w:val="18"/>
          <w:szCs w:val="18"/>
        </w:rPr>
      </w:pPr>
      <w:r w:rsidRPr="00061A8F">
        <w:rPr>
          <w:rStyle w:val="FootnoteReference"/>
          <w:rFonts w:ascii="GHEA Grapalat" w:hAnsi="GHEA Grapalat"/>
          <w:sz w:val="18"/>
          <w:szCs w:val="18"/>
        </w:rPr>
        <w:footnoteRef/>
      </w:r>
      <w:r w:rsidRPr="00061A8F">
        <w:rPr>
          <w:rFonts w:ascii="GHEA Grapalat" w:hAnsi="GHEA Grapalat"/>
          <w:sz w:val="18"/>
          <w:szCs w:val="18"/>
        </w:rPr>
        <w:t xml:space="preserve"> </w:t>
      </w:r>
      <w:r w:rsidRPr="00061A8F">
        <w:rPr>
          <w:rFonts w:ascii="GHEA Grapalat" w:eastAsia="GHEA Grapalat" w:hAnsi="GHEA Grapalat" w:cs="GHEA Grapalat"/>
          <w:i/>
          <w:color w:val="000000"/>
          <w:sz w:val="18"/>
          <w:szCs w:val="18"/>
        </w:rPr>
        <w:t>Աղյուսակներում նպաստումները հաշվարկվել են նախորդ տարվա կշիռների հիման վրա:</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134E55C0"/>
    <w:multiLevelType w:val="hybridMultilevel"/>
    <w:tmpl w:val="BAB0AB72"/>
    <w:lvl w:ilvl="0" w:tplc="C9AC7CCA">
      <w:start w:val="1"/>
      <w:numFmt w:val="decimal"/>
      <w:lvlText w:val="Գծապատկեր %1."/>
      <w:lvlJc w:val="left"/>
      <w:pPr>
        <w:ind w:left="1778" w:hanging="360"/>
      </w:pPr>
      <w:rPr>
        <w:rFonts w:ascii="GHEA Grapalat" w:hAnsi="GHEA Grapalat" w:hint="default"/>
        <w:b/>
        <w:i/>
        <w:sz w:val="22"/>
        <w:szCs w:val="22"/>
        <w:lang w:val="de-AT"/>
      </w:rPr>
    </w:lvl>
    <w:lvl w:ilvl="1" w:tplc="04090019">
      <w:start w:val="1"/>
      <w:numFmt w:val="lowerLetter"/>
      <w:lvlText w:val="%2."/>
      <w:lvlJc w:val="left"/>
      <w:pPr>
        <w:ind w:left="1129" w:hanging="360"/>
      </w:pPr>
    </w:lvl>
    <w:lvl w:ilvl="2" w:tplc="0409001B">
      <w:start w:val="1"/>
      <w:numFmt w:val="lowerRoman"/>
      <w:lvlText w:val="%3."/>
      <w:lvlJc w:val="right"/>
      <w:pPr>
        <w:ind w:left="1849" w:hanging="180"/>
      </w:pPr>
    </w:lvl>
    <w:lvl w:ilvl="3" w:tplc="0409000F">
      <w:start w:val="1"/>
      <w:numFmt w:val="decimal"/>
      <w:lvlText w:val="%4."/>
      <w:lvlJc w:val="left"/>
      <w:pPr>
        <w:ind w:left="2569" w:hanging="360"/>
      </w:pPr>
    </w:lvl>
    <w:lvl w:ilvl="4" w:tplc="04090019">
      <w:start w:val="1"/>
      <w:numFmt w:val="lowerLetter"/>
      <w:lvlText w:val="%5."/>
      <w:lvlJc w:val="left"/>
      <w:pPr>
        <w:ind w:left="3289" w:hanging="360"/>
      </w:pPr>
    </w:lvl>
    <w:lvl w:ilvl="5" w:tplc="0409001B">
      <w:start w:val="1"/>
      <w:numFmt w:val="lowerRoman"/>
      <w:lvlText w:val="%6."/>
      <w:lvlJc w:val="right"/>
      <w:pPr>
        <w:ind w:left="4009" w:hanging="180"/>
      </w:pPr>
    </w:lvl>
    <w:lvl w:ilvl="6" w:tplc="0409000F">
      <w:start w:val="1"/>
      <w:numFmt w:val="decimal"/>
      <w:lvlText w:val="%7."/>
      <w:lvlJc w:val="left"/>
      <w:pPr>
        <w:ind w:left="4729" w:hanging="360"/>
      </w:pPr>
    </w:lvl>
    <w:lvl w:ilvl="7" w:tplc="04090019">
      <w:start w:val="1"/>
      <w:numFmt w:val="lowerLetter"/>
      <w:lvlText w:val="%8."/>
      <w:lvlJc w:val="left"/>
      <w:pPr>
        <w:ind w:left="5449" w:hanging="360"/>
      </w:pPr>
    </w:lvl>
    <w:lvl w:ilvl="8" w:tplc="0409001B">
      <w:start w:val="1"/>
      <w:numFmt w:val="lowerRoman"/>
      <w:lvlText w:val="%9."/>
      <w:lvlJc w:val="right"/>
      <w:pPr>
        <w:ind w:left="6169" w:hanging="180"/>
      </w:pPr>
    </w:lvl>
  </w:abstractNum>
  <w:abstractNum w:abstractNumId="3"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2718003F"/>
    <w:multiLevelType w:val="hybridMultilevel"/>
    <w:tmpl w:val="23CA543C"/>
    <w:lvl w:ilvl="0" w:tplc="E79E1FE0">
      <w:start w:val="1"/>
      <w:numFmt w:val="decimal"/>
      <w:lvlText w:val="Աղյուսակ %1."/>
      <w:lvlJc w:val="left"/>
      <w:pPr>
        <w:ind w:left="540"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E138E8"/>
    <w:multiLevelType w:val="hybridMultilevel"/>
    <w:tmpl w:val="BD249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3724AA1"/>
    <w:multiLevelType w:val="hybridMultilevel"/>
    <w:tmpl w:val="B3F0AA1E"/>
    <w:lvl w:ilvl="0" w:tplc="832CA9FA">
      <w:start w:val="10"/>
      <w:numFmt w:val="decimal"/>
      <w:lvlText w:val="Գծապատկեր %1."/>
      <w:lvlJc w:val="left"/>
      <w:pPr>
        <w:ind w:left="177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FC232E5"/>
    <w:multiLevelType w:val="hybridMultilevel"/>
    <w:tmpl w:val="3FD2A7B6"/>
    <w:lvl w:ilvl="0" w:tplc="5D3C21A6">
      <w:start w:val="27"/>
      <w:numFmt w:val="decimal"/>
      <w:pStyle w:val="a"/>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204E3A"/>
    <w:multiLevelType w:val="hybridMultilevel"/>
    <w:tmpl w:val="AA24B2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4C564979"/>
    <w:multiLevelType w:val="hybridMultilevel"/>
    <w:tmpl w:val="C73027F0"/>
    <w:lvl w:ilvl="0" w:tplc="7AB84EA6">
      <w:start w:val="2"/>
      <w:numFmt w:val="decimal"/>
      <w:lvlText w:val="Աղյուսակ %1."/>
      <w:lvlJc w:val="left"/>
      <w:pPr>
        <w:ind w:left="540"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D15AF1"/>
    <w:multiLevelType w:val="hybridMultilevel"/>
    <w:tmpl w:val="1D909386"/>
    <w:lvl w:ilvl="0" w:tplc="0BCC0C64">
      <w:start w:val="22"/>
      <w:numFmt w:val="decimal"/>
      <w:lvlText w:val="Գծապատկեր %1."/>
      <w:lvlJc w:val="left"/>
      <w:pPr>
        <w:ind w:left="177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911300"/>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3" w15:restartNumberingAfterBreak="0">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5" w15:restartNumberingAfterBreak="0">
    <w:nsid w:val="59166181"/>
    <w:multiLevelType w:val="hybridMultilevel"/>
    <w:tmpl w:val="B30C6E02"/>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59EF7C94"/>
    <w:multiLevelType w:val="hybridMultilevel"/>
    <w:tmpl w:val="FDBE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F276B0"/>
    <w:multiLevelType w:val="hybridMultilevel"/>
    <w:tmpl w:val="FF864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0" w15:restartNumberingAfterBreak="0">
    <w:nsid w:val="68AF4E79"/>
    <w:multiLevelType w:val="hybridMultilevel"/>
    <w:tmpl w:val="9620E2A8"/>
    <w:lvl w:ilvl="0" w:tplc="FE5487DE">
      <w:start w:val="2"/>
      <w:numFmt w:val="decimal"/>
      <w:lvlText w:val="Աղյուսակ %1."/>
      <w:lvlJc w:val="left"/>
      <w:pPr>
        <w:ind w:left="1778"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CC71A8"/>
    <w:multiLevelType w:val="hybridMultilevel"/>
    <w:tmpl w:val="2D543EEE"/>
    <w:lvl w:ilvl="0" w:tplc="90664490">
      <w:start w:val="29"/>
      <w:numFmt w:val="decimal"/>
      <w:lvlText w:val="Գծապատկեր %1."/>
      <w:lvlJc w:val="left"/>
      <w:pPr>
        <w:ind w:left="177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22"/>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7"/>
  </w:num>
  <w:num w:numId="5">
    <w:abstractNumId w:val="19"/>
  </w:num>
  <w:num w:numId="6">
    <w:abstractNumId w:val="14"/>
  </w:num>
  <w:num w:numId="7">
    <w:abstractNumId w:val="17"/>
  </w:num>
  <w:num w:numId="8">
    <w:abstractNumId w:val="3"/>
  </w:num>
  <w:num w:numId="9">
    <w:abstractNumId w:val="24"/>
  </w:num>
  <w:num w:numId="10">
    <w:abstractNumId w:val="13"/>
  </w:num>
  <w:num w:numId="11">
    <w:abstractNumId w:val="9"/>
  </w:num>
  <w:num w:numId="12">
    <w:abstractNumId w:val="12"/>
  </w:num>
  <w:num w:numId="13">
    <w:abstractNumId w:val="8"/>
  </w:num>
  <w:num w:numId="14">
    <w:abstractNumId w:val="5"/>
  </w:num>
  <w:num w:numId="15">
    <w:abstractNumId w:val="8"/>
    <w:lvlOverride w:ilvl="0">
      <w:startOverride w:val="8"/>
    </w:lvlOverride>
  </w:num>
  <w:num w:numId="16">
    <w:abstractNumId w:val="8"/>
    <w:lvlOverride w:ilvl="0">
      <w:startOverride w:val="21"/>
    </w:lvlOverride>
  </w:num>
  <w:num w:numId="17">
    <w:abstractNumId w:val="10"/>
  </w:num>
  <w:num w:numId="18">
    <w:abstractNumId w:val="23"/>
  </w:num>
  <w:num w:numId="19">
    <w:abstractNumId w:val="4"/>
  </w:num>
  <w:num w:numId="20">
    <w:abstractNumId w:val="18"/>
  </w:num>
  <w:num w:numId="21">
    <w:abstractNumId w:val="15"/>
  </w:num>
  <w:num w:numId="22">
    <w:abstractNumId w:val="16"/>
  </w:num>
  <w:num w:numId="23">
    <w:abstractNumId w:val="2"/>
  </w:num>
  <w:num w:numId="24">
    <w:abstractNumId w:val="6"/>
  </w:num>
  <w:num w:numId="25">
    <w:abstractNumId w:val="11"/>
  </w:num>
  <w:num w:numId="26">
    <w:abstractNumId w:val="21"/>
  </w:num>
  <w:num w:numId="2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6" w:nlCheck="1" w:checkStyle="0"/>
  <w:activeWritingStyle w:appName="MSWord" w:lang="fr-FR" w:vendorID="64" w:dllVersion="6" w:nlCheck="1" w:checkStyle="0"/>
  <w:activeWritingStyle w:appName="MSWord" w:lang="es-ES" w:vendorID="64" w:dllVersion="6" w:nlCheck="1" w:checkStyle="1"/>
  <w:activeWritingStyle w:appName="MSWord" w:lang="en-GB"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131078" w:nlCheck="1" w:checkStyle="0"/>
  <w:activeWritingStyle w:appName="MSWord" w:lang="de-AT" w:vendorID="64" w:dllVersion="131078" w:nlCheck="1" w:checkStyle="0"/>
  <w:activeWritingStyle w:appName="MSWord" w:lang="en-GB" w:vendorID="64" w:dllVersion="131078" w:nlCheck="1" w:checkStyle="0"/>
  <w:activeWritingStyle w:appName="MSWord" w:lang="fr-FR"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73C"/>
    <w:rsid w:val="000001A7"/>
    <w:rsid w:val="0000059F"/>
    <w:rsid w:val="000008BF"/>
    <w:rsid w:val="00000A78"/>
    <w:rsid w:val="00000B30"/>
    <w:rsid w:val="00000B8F"/>
    <w:rsid w:val="00000CC6"/>
    <w:rsid w:val="00000D27"/>
    <w:rsid w:val="00001056"/>
    <w:rsid w:val="0000105D"/>
    <w:rsid w:val="00001128"/>
    <w:rsid w:val="000011F1"/>
    <w:rsid w:val="00001662"/>
    <w:rsid w:val="0000177A"/>
    <w:rsid w:val="00001922"/>
    <w:rsid w:val="00001C9D"/>
    <w:rsid w:val="00001EEE"/>
    <w:rsid w:val="00002044"/>
    <w:rsid w:val="00002068"/>
    <w:rsid w:val="000022D8"/>
    <w:rsid w:val="000025B3"/>
    <w:rsid w:val="000026E1"/>
    <w:rsid w:val="000029AF"/>
    <w:rsid w:val="00002ABD"/>
    <w:rsid w:val="00002C1B"/>
    <w:rsid w:val="00002F7E"/>
    <w:rsid w:val="000031B4"/>
    <w:rsid w:val="0000344E"/>
    <w:rsid w:val="00003850"/>
    <w:rsid w:val="00003AE8"/>
    <w:rsid w:val="00003D93"/>
    <w:rsid w:val="00003E0C"/>
    <w:rsid w:val="00003E67"/>
    <w:rsid w:val="000043A0"/>
    <w:rsid w:val="000043EC"/>
    <w:rsid w:val="000046E0"/>
    <w:rsid w:val="00004782"/>
    <w:rsid w:val="0000488C"/>
    <w:rsid w:val="000049ED"/>
    <w:rsid w:val="00004BF5"/>
    <w:rsid w:val="00004EB7"/>
    <w:rsid w:val="000050D8"/>
    <w:rsid w:val="000051A1"/>
    <w:rsid w:val="00005FE7"/>
    <w:rsid w:val="000062A7"/>
    <w:rsid w:val="00006BE1"/>
    <w:rsid w:val="00006C8E"/>
    <w:rsid w:val="00006D44"/>
    <w:rsid w:val="00006F51"/>
    <w:rsid w:val="00007862"/>
    <w:rsid w:val="0000797B"/>
    <w:rsid w:val="0000799C"/>
    <w:rsid w:val="00007A36"/>
    <w:rsid w:val="00007B4C"/>
    <w:rsid w:val="00007B80"/>
    <w:rsid w:val="00007D4B"/>
    <w:rsid w:val="00007FBA"/>
    <w:rsid w:val="0001038E"/>
    <w:rsid w:val="00010E70"/>
    <w:rsid w:val="000110DF"/>
    <w:rsid w:val="000110E9"/>
    <w:rsid w:val="00011CB7"/>
    <w:rsid w:val="0001221C"/>
    <w:rsid w:val="00012440"/>
    <w:rsid w:val="00012B18"/>
    <w:rsid w:val="00012BCB"/>
    <w:rsid w:val="00012DBA"/>
    <w:rsid w:val="00013BAF"/>
    <w:rsid w:val="0001467A"/>
    <w:rsid w:val="00014ACD"/>
    <w:rsid w:val="000158E4"/>
    <w:rsid w:val="00015A48"/>
    <w:rsid w:val="00015E17"/>
    <w:rsid w:val="000161BC"/>
    <w:rsid w:val="0001629D"/>
    <w:rsid w:val="000164D9"/>
    <w:rsid w:val="00016DE5"/>
    <w:rsid w:val="00017132"/>
    <w:rsid w:val="00017218"/>
    <w:rsid w:val="00017681"/>
    <w:rsid w:val="00017960"/>
    <w:rsid w:val="00020407"/>
    <w:rsid w:val="00020C2C"/>
    <w:rsid w:val="00020D2D"/>
    <w:rsid w:val="000211AB"/>
    <w:rsid w:val="000211EA"/>
    <w:rsid w:val="0002130B"/>
    <w:rsid w:val="000217F0"/>
    <w:rsid w:val="00021C51"/>
    <w:rsid w:val="00022212"/>
    <w:rsid w:val="000222C5"/>
    <w:rsid w:val="00022F8E"/>
    <w:rsid w:val="000232C2"/>
    <w:rsid w:val="00023958"/>
    <w:rsid w:val="00023C80"/>
    <w:rsid w:val="00023E03"/>
    <w:rsid w:val="00023F42"/>
    <w:rsid w:val="00023FD5"/>
    <w:rsid w:val="00024068"/>
    <w:rsid w:val="000241ED"/>
    <w:rsid w:val="00024BE3"/>
    <w:rsid w:val="000257DD"/>
    <w:rsid w:val="00025B6D"/>
    <w:rsid w:val="00025C71"/>
    <w:rsid w:val="00026233"/>
    <w:rsid w:val="0002675D"/>
    <w:rsid w:val="00027266"/>
    <w:rsid w:val="00027310"/>
    <w:rsid w:val="000279CC"/>
    <w:rsid w:val="00027DD3"/>
    <w:rsid w:val="00030036"/>
    <w:rsid w:val="000303D1"/>
    <w:rsid w:val="00030471"/>
    <w:rsid w:val="000307D5"/>
    <w:rsid w:val="00030A56"/>
    <w:rsid w:val="00030C3C"/>
    <w:rsid w:val="00030FD4"/>
    <w:rsid w:val="00032380"/>
    <w:rsid w:val="00032B06"/>
    <w:rsid w:val="00032DE1"/>
    <w:rsid w:val="00032E25"/>
    <w:rsid w:val="0003381E"/>
    <w:rsid w:val="0003382A"/>
    <w:rsid w:val="00033A2E"/>
    <w:rsid w:val="00033DA0"/>
    <w:rsid w:val="00033EE1"/>
    <w:rsid w:val="00034B9B"/>
    <w:rsid w:val="00034CDA"/>
    <w:rsid w:val="000354DA"/>
    <w:rsid w:val="00035A20"/>
    <w:rsid w:val="00035AF2"/>
    <w:rsid w:val="00035D8C"/>
    <w:rsid w:val="00035E1E"/>
    <w:rsid w:val="00035E85"/>
    <w:rsid w:val="00035EFF"/>
    <w:rsid w:val="000360E4"/>
    <w:rsid w:val="00036A8B"/>
    <w:rsid w:val="00036F10"/>
    <w:rsid w:val="000373AC"/>
    <w:rsid w:val="0003746F"/>
    <w:rsid w:val="00037C39"/>
    <w:rsid w:val="00037FCE"/>
    <w:rsid w:val="00040285"/>
    <w:rsid w:val="00040458"/>
    <w:rsid w:val="000404CC"/>
    <w:rsid w:val="00040A33"/>
    <w:rsid w:val="00040CBC"/>
    <w:rsid w:val="000417E7"/>
    <w:rsid w:val="000419FD"/>
    <w:rsid w:val="00041D39"/>
    <w:rsid w:val="000422ED"/>
    <w:rsid w:val="000423AB"/>
    <w:rsid w:val="0004241C"/>
    <w:rsid w:val="00042752"/>
    <w:rsid w:val="00042900"/>
    <w:rsid w:val="00042AA2"/>
    <w:rsid w:val="00042B70"/>
    <w:rsid w:val="00042CB7"/>
    <w:rsid w:val="00042F58"/>
    <w:rsid w:val="0004304A"/>
    <w:rsid w:val="00043219"/>
    <w:rsid w:val="00043303"/>
    <w:rsid w:val="00043415"/>
    <w:rsid w:val="00043CDF"/>
    <w:rsid w:val="00044115"/>
    <w:rsid w:val="0004424A"/>
    <w:rsid w:val="000442D5"/>
    <w:rsid w:val="0004480E"/>
    <w:rsid w:val="00044B6C"/>
    <w:rsid w:val="00044C1D"/>
    <w:rsid w:val="00045097"/>
    <w:rsid w:val="000457E3"/>
    <w:rsid w:val="00045858"/>
    <w:rsid w:val="00045922"/>
    <w:rsid w:val="00045C3D"/>
    <w:rsid w:val="00045F1D"/>
    <w:rsid w:val="00046182"/>
    <w:rsid w:val="00046DBB"/>
    <w:rsid w:val="00046EC2"/>
    <w:rsid w:val="00046EF6"/>
    <w:rsid w:val="00047685"/>
    <w:rsid w:val="0005023D"/>
    <w:rsid w:val="000504E3"/>
    <w:rsid w:val="000506B4"/>
    <w:rsid w:val="00050C76"/>
    <w:rsid w:val="00050F0E"/>
    <w:rsid w:val="000514F9"/>
    <w:rsid w:val="00051632"/>
    <w:rsid w:val="0005170D"/>
    <w:rsid w:val="00051A9F"/>
    <w:rsid w:val="00051FE6"/>
    <w:rsid w:val="00051FF3"/>
    <w:rsid w:val="00052132"/>
    <w:rsid w:val="000523C5"/>
    <w:rsid w:val="00052483"/>
    <w:rsid w:val="000526B3"/>
    <w:rsid w:val="00052797"/>
    <w:rsid w:val="00052F1B"/>
    <w:rsid w:val="000530E1"/>
    <w:rsid w:val="00053338"/>
    <w:rsid w:val="00053544"/>
    <w:rsid w:val="000537E3"/>
    <w:rsid w:val="00053A4A"/>
    <w:rsid w:val="00053A90"/>
    <w:rsid w:val="00053C94"/>
    <w:rsid w:val="00054624"/>
    <w:rsid w:val="00054F5D"/>
    <w:rsid w:val="00055668"/>
    <w:rsid w:val="000557B4"/>
    <w:rsid w:val="00055D53"/>
    <w:rsid w:val="00055D6A"/>
    <w:rsid w:val="000566A1"/>
    <w:rsid w:val="0005675D"/>
    <w:rsid w:val="00056A1B"/>
    <w:rsid w:val="00057195"/>
    <w:rsid w:val="0005720C"/>
    <w:rsid w:val="0005787B"/>
    <w:rsid w:val="00057E06"/>
    <w:rsid w:val="00057EA3"/>
    <w:rsid w:val="00057EEB"/>
    <w:rsid w:val="000601EC"/>
    <w:rsid w:val="00060244"/>
    <w:rsid w:val="000604D1"/>
    <w:rsid w:val="00060510"/>
    <w:rsid w:val="0006055C"/>
    <w:rsid w:val="0006080B"/>
    <w:rsid w:val="00060974"/>
    <w:rsid w:val="000609CE"/>
    <w:rsid w:val="00061ADF"/>
    <w:rsid w:val="000621CC"/>
    <w:rsid w:val="00062294"/>
    <w:rsid w:val="00062545"/>
    <w:rsid w:val="00062E70"/>
    <w:rsid w:val="0006351E"/>
    <w:rsid w:val="000638E7"/>
    <w:rsid w:val="00063FE2"/>
    <w:rsid w:val="00064143"/>
    <w:rsid w:val="00064442"/>
    <w:rsid w:val="000647F8"/>
    <w:rsid w:val="00064C91"/>
    <w:rsid w:val="00064CED"/>
    <w:rsid w:val="00064E9F"/>
    <w:rsid w:val="00065ADB"/>
    <w:rsid w:val="00065E3C"/>
    <w:rsid w:val="00066648"/>
    <w:rsid w:val="00066B4A"/>
    <w:rsid w:val="00067106"/>
    <w:rsid w:val="000677FB"/>
    <w:rsid w:val="00067916"/>
    <w:rsid w:val="000702B1"/>
    <w:rsid w:val="0007069D"/>
    <w:rsid w:val="00070B99"/>
    <w:rsid w:val="00070DC5"/>
    <w:rsid w:val="00070ED4"/>
    <w:rsid w:val="000710A9"/>
    <w:rsid w:val="00071461"/>
    <w:rsid w:val="000715C1"/>
    <w:rsid w:val="00071BFB"/>
    <w:rsid w:val="00071E16"/>
    <w:rsid w:val="00071EF6"/>
    <w:rsid w:val="000722F9"/>
    <w:rsid w:val="00072746"/>
    <w:rsid w:val="00072776"/>
    <w:rsid w:val="00072917"/>
    <w:rsid w:val="00072933"/>
    <w:rsid w:val="00072BF4"/>
    <w:rsid w:val="00073125"/>
    <w:rsid w:val="00073296"/>
    <w:rsid w:val="00073EEA"/>
    <w:rsid w:val="00074532"/>
    <w:rsid w:val="00074829"/>
    <w:rsid w:val="00074F9B"/>
    <w:rsid w:val="00075484"/>
    <w:rsid w:val="00075682"/>
    <w:rsid w:val="00075BBB"/>
    <w:rsid w:val="000760D1"/>
    <w:rsid w:val="000763A2"/>
    <w:rsid w:val="00076548"/>
    <w:rsid w:val="00076829"/>
    <w:rsid w:val="000769F7"/>
    <w:rsid w:val="00076BEC"/>
    <w:rsid w:val="000776C2"/>
    <w:rsid w:val="00077865"/>
    <w:rsid w:val="000778EC"/>
    <w:rsid w:val="00077AB6"/>
    <w:rsid w:val="00077CF6"/>
    <w:rsid w:val="00080A6A"/>
    <w:rsid w:val="00080C7F"/>
    <w:rsid w:val="000810CD"/>
    <w:rsid w:val="0008143C"/>
    <w:rsid w:val="00081BD9"/>
    <w:rsid w:val="00081C42"/>
    <w:rsid w:val="00081C50"/>
    <w:rsid w:val="00082C94"/>
    <w:rsid w:val="00082E2B"/>
    <w:rsid w:val="000831EF"/>
    <w:rsid w:val="000837E3"/>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980"/>
    <w:rsid w:val="00087A97"/>
    <w:rsid w:val="00087D17"/>
    <w:rsid w:val="00090551"/>
    <w:rsid w:val="00090896"/>
    <w:rsid w:val="000910AA"/>
    <w:rsid w:val="00091207"/>
    <w:rsid w:val="0009135E"/>
    <w:rsid w:val="000915E4"/>
    <w:rsid w:val="0009167C"/>
    <w:rsid w:val="00091849"/>
    <w:rsid w:val="00091DE9"/>
    <w:rsid w:val="00092056"/>
    <w:rsid w:val="00092206"/>
    <w:rsid w:val="000925C8"/>
    <w:rsid w:val="00092CDA"/>
    <w:rsid w:val="00092D7E"/>
    <w:rsid w:val="00092DFE"/>
    <w:rsid w:val="00092FE8"/>
    <w:rsid w:val="00092FF5"/>
    <w:rsid w:val="0009304F"/>
    <w:rsid w:val="000930E8"/>
    <w:rsid w:val="0009326E"/>
    <w:rsid w:val="000935B0"/>
    <w:rsid w:val="00093A0E"/>
    <w:rsid w:val="00093E0E"/>
    <w:rsid w:val="00093F78"/>
    <w:rsid w:val="0009408E"/>
    <w:rsid w:val="00094B8A"/>
    <w:rsid w:val="0009531A"/>
    <w:rsid w:val="0009536E"/>
    <w:rsid w:val="000959EB"/>
    <w:rsid w:val="00095B5B"/>
    <w:rsid w:val="00095DAC"/>
    <w:rsid w:val="00096C25"/>
    <w:rsid w:val="00097145"/>
    <w:rsid w:val="0009773B"/>
    <w:rsid w:val="000977F9"/>
    <w:rsid w:val="000A00F2"/>
    <w:rsid w:val="000A0728"/>
    <w:rsid w:val="000A0910"/>
    <w:rsid w:val="000A0BEA"/>
    <w:rsid w:val="000A0F70"/>
    <w:rsid w:val="000A0F85"/>
    <w:rsid w:val="000A13EE"/>
    <w:rsid w:val="000A1454"/>
    <w:rsid w:val="000A17CB"/>
    <w:rsid w:val="000A1873"/>
    <w:rsid w:val="000A1C94"/>
    <w:rsid w:val="000A1CEF"/>
    <w:rsid w:val="000A1D13"/>
    <w:rsid w:val="000A1E59"/>
    <w:rsid w:val="000A1EF0"/>
    <w:rsid w:val="000A25DD"/>
    <w:rsid w:val="000A26B4"/>
    <w:rsid w:val="000A2F11"/>
    <w:rsid w:val="000A310C"/>
    <w:rsid w:val="000A3AA7"/>
    <w:rsid w:val="000A4193"/>
    <w:rsid w:val="000A42FD"/>
    <w:rsid w:val="000A4D8C"/>
    <w:rsid w:val="000A4E32"/>
    <w:rsid w:val="000A4F76"/>
    <w:rsid w:val="000A512A"/>
    <w:rsid w:val="000A53C2"/>
    <w:rsid w:val="000A54A3"/>
    <w:rsid w:val="000A56ED"/>
    <w:rsid w:val="000A5790"/>
    <w:rsid w:val="000A5961"/>
    <w:rsid w:val="000A5BEC"/>
    <w:rsid w:val="000A5D74"/>
    <w:rsid w:val="000A62A3"/>
    <w:rsid w:val="000A6673"/>
    <w:rsid w:val="000A67FF"/>
    <w:rsid w:val="000A6ACE"/>
    <w:rsid w:val="000A6FCA"/>
    <w:rsid w:val="000A7633"/>
    <w:rsid w:val="000A77DC"/>
    <w:rsid w:val="000B0356"/>
    <w:rsid w:val="000B03D7"/>
    <w:rsid w:val="000B04BA"/>
    <w:rsid w:val="000B112B"/>
    <w:rsid w:val="000B13C7"/>
    <w:rsid w:val="000B18ED"/>
    <w:rsid w:val="000B20BF"/>
    <w:rsid w:val="000B27D3"/>
    <w:rsid w:val="000B2944"/>
    <w:rsid w:val="000B2B5C"/>
    <w:rsid w:val="000B2CE5"/>
    <w:rsid w:val="000B3222"/>
    <w:rsid w:val="000B32BA"/>
    <w:rsid w:val="000B380A"/>
    <w:rsid w:val="000B3BD0"/>
    <w:rsid w:val="000B3BE7"/>
    <w:rsid w:val="000B4149"/>
    <w:rsid w:val="000B45C7"/>
    <w:rsid w:val="000B4796"/>
    <w:rsid w:val="000B4CEC"/>
    <w:rsid w:val="000B4D60"/>
    <w:rsid w:val="000B507B"/>
    <w:rsid w:val="000B522D"/>
    <w:rsid w:val="000B53C0"/>
    <w:rsid w:val="000B5693"/>
    <w:rsid w:val="000B5B31"/>
    <w:rsid w:val="000B5C7B"/>
    <w:rsid w:val="000B6458"/>
    <w:rsid w:val="000B67DC"/>
    <w:rsid w:val="000B7B4F"/>
    <w:rsid w:val="000C00D7"/>
    <w:rsid w:val="000C0BFF"/>
    <w:rsid w:val="000C1002"/>
    <w:rsid w:val="000C1290"/>
    <w:rsid w:val="000C1F6C"/>
    <w:rsid w:val="000C210B"/>
    <w:rsid w:val="000C21AB"/>
    <w:rsid w:val="000C23B5"/>
    <w:rsid w:val="000C24E8"/>
    <w:rsid w:val="000C25D3"/>
    <w:rsid w:val="000C2743"/>
    <w:rsid w:val="000C29A3"/>
    <w:rsid w:val="000C2A6F"/>
    <w:rsid w:val="000C30AD"/>
    <w:rsid w:val="000C3B9A"/>
    <w:rsid w:val="000C3F37"/>
    <w:rsid w:val="000C42BC"/>
    <w:rsid w:val="000C4490"/>
    <w:rsid w:val="000C45D8"/>
    <w:rsid w:val="000C4A2C"/>
    <w:rsid w:val="000C4F9A"/>
    <w:rsid w:val="000C5213"/>
    <w:rsid w:val="000C552C"/>
    <w:rsid w:val="000C5639"/>
    <w:rsid w:val="000C591A"/>
    <w:rsid w:val="000C59C4"/>
    <w:rsid w:val="000C5A96"/>
    <w:rsid w:val="000C5BC4"/>
    <w:rsid w:val="000C6364"/>
    <w:rsid w:val="000C6513"/>
    <w:rsid w:val="000C66E3"/>
    <w:rsid w:val="000C73D8"/>
    <w:rsid w:val="000C779C"/>
    <w:rsid w:val="000D0217"/>
    <w:rsid w:val="000D0331"/>
    <w:rsid w:val="000D0556"/>
    <w:rsid w:val="000D17F2"/>
    <w:rsid w:val="000D1EF9"/>
    <w:rsid w:val="000D24A0"/>
    <w:rsid w:val="000D2A95"/>
    <w:rsid w:val="000D2B9B"/>
    <w:rsid w:val="000D2BB2"/>
    <w:rsid w:val="000D3122"/>
    <w:rsid w:val="000D32BB"/>
    <w:rsid w:val="000D4325"/>
    <w:rsid w:val="000D489F"/>
    <w:rsid w:val="000D4EA0"/>
    <w:rsid w:val="000D51D6"/>
    <w:rsid w:val="000D5498"/>
    <w:rsid w:val="000D559A"/>
    <w:rsid w:val="000D5B38"/>
    <w:rsid w:val="000D5C17"/>
    <w:rsid w:val="000D6201"/>
    <w:rsid w:val="000D6397"/>
    <w:rsid w:val="000D6848"/>
    <w:rsid w:val="000D6918"/>
    <w:rsid w:val="000D7145"/>
    <w:rsid w:val="000D71D0"/>
    <w:rsid w:val="000D7226"/>
    <w:rsid w:val="000D7A77"/>
    <w:rsid w:val="000D7A9F"/>
    <w:rsid w:val="000D7D4C"/>
    <w:rsid w:val="000D7EF5"/>
    <w:rsid w:val="000E02B5"/>
    <w:rsid w:val="000E08DA"/>
    <w:rsid w:val="000E08E0"/>
    <w:rsid w:val="000E08E1"/>
    <w:rsid w:val="000E17F6"/>
    <w:rsid w:val="000E1AE6"/>
    <w:rsid w:val="000E1BCA"/>
    <w:rsid w:val="000E2342"/>
    <w:rsid w:val="000E2648"/>
    <w:rsid w:val="000E2AEB"/>
    <w:rsid w:val="000E2CB0"/>
    <w:rsid w:val="000E2D89"/>
    <w:rsid w:val="000E36BF"/>
    <w:rsid w:val="000E3EEF"/>
    <w:rsid w:val="000E440D"/>
    <w:rsid w:val="000E459E"/>
    <w:rsid w:val="000E45F5"/>
    <w:rsid w:val="000E4890"/>
    <w:rsid w:val="000E4CF4"/>
    <w:rsid w:val="000E50D7"/>
    <w:rsid w:val="000E558D"/>
    <w:rsid w:val="000E561C"/>
    <w:rsid w:val="000E5AAC"/>
    <w:rsid w:val="000E5AC9"/>
    <w:rsid w:val="000E5C16"/>
    <w:rsid w:val="000E607C"/>
    <w:rsid w:val="000E6593"/>
    <w:rsid w:val="000E65BD"/>
    <w:rsid w:val="000E66A4"/>
    <w:rsid w:val="000E693B"/>
    <w:rsid w:val="000E6D42"/>
    <w:rsid w:val="000F010A"/>
    <w:rsid w:val="000F01B4"/>
    <w:rsid w:val="000F04EB"/>
    <w:rsid w:val="000F0A36"/>
    <w:rsid w:val="000F0A76"/>
    <w:rsid w:val="000F0DD9"/>
    <w:rsid w:val="000F1512"/>
    <w:rsid w:val="000F1737"/>
    <w:rsid w:val="000F1828"/>
    <w:rsid w:val="000F1D6B"/>
    <w:rsid w:val="000F23F8"/>
    <w:rsid w:val="000F25F2"/>
    <w:rsid w:val="000F2986"/>
    <w:rsid w:val="000F2B7E"/>
    <w:rsid w:val="000F30C0"/>
    <w:rsid w:val="000F3292"/>
    <w:rsid w:val="000F3719"/>
    <w:rsid w:val="000F382C"/>
    <w:rsid w:val="000F392F"/>
    <w:rsid w:val="000F3D60"/>
    <w:rsid w:val="000F4239"/>
    <w:rsid w:val="000F479F"/>
    <w:rsid w:val="000F47F8"/>
    <w:rsid w:val="000F49A9"/>
    <w:rsid w:val="000F4ED0"/>
    <w:rsid w:val="000F511A"/>
    <w:rsid w:val="000F5223"/>
    <w:rsid w:val="000F5481"/>
    <w:rsid w:val="000F5647"/>
    <w:rsid w:val="000F5702"/>
    <w:rsid w:val="000F589E"/>
    <w:rsid w:val="000F5B1D"/>
    <w:rsid w:val="000F5B8C"/>
    <w:rsid w:val="000F5BEE"/>
    <w:rsid w:val="000F5F7A"/>
    <w:rsid w:val="000F6AAE"/>
    <w:rsid w:val="000F72F5"/>
    <w:rsid w:val="000F7533"/>
    <w:rsid w:val="000F75DD"/>
    <w:rsid w:val="000F7F2A"/>
    <w:rsid w:val="000F7F5E"/>
    <w:rsid w:val="0010015A"/>
    <w:rsid w:val="0010057A"/>
    <w:rsid w:val="001009B9"/>
    <w:rsid w:val="00101080"/>
    <w:rsid w:val="00101608"/>
    <w:rsid w:val="00101742"/>
    <w:rsid w:val="001019D8"/>
    <w:rsid w:val="00101C53"/>
    <w:rsid w:val="00101E99"/>
    <w:rsid w:val="00101EC2"/>
    <w:rsid w:val="00102838"/>
    <w:rsid w:val="0010292C"/>
    <w:rsid w:val="001029BA"/>
    <w:rsid w:val="00102BD7"/>
    <w:rsid w:val="00102FAB"/>
    <w:rsid w:val="00103DE9"/>
    <w:rsid w:val="001043F9"/>
    <w:rsid w:val="00104D90"/>
    <w:rsid w:val="0010525B"/>
    <w:rsid w:val="0010537C"/>
    <w:rsid w:val="00105703"/>
    <w:rsid w:val="00105757"/>
    <w:rsid w:val="00105FE9"/>
    <w:rsid w:val="001063E9"/>
    <w:rsid w:val="001066F3"/>
    <w:rsid w:val="001068A5"/>
    <w:rsid w:val="00107170"/>
    <w:rsid w:val="001071A7"/>
    <w:rsid w:val="00107584"/>
    <w:rsid w:val="00107689"/>
    <w:rsid w:val="00107892"/>
    <w:rsid w:val="00107A4D"/>
    <w:rsid w:val="00107AF1"/>
    <w:rsid w:val="00107DB5"/>
    <w:rsid w:val="00110073"/>
    <w:rsid w:val="001103D9"/>
    <w:rsid w:val="001103F4"/>
    <w:rsid w:val="00110816"/>
    <w:rsid w:val="00110B8E"/>
    <w:rsid w:val="0011104F"/>
    <w:rsid w:val="00111352"/>
    <w:rsid w:val="001113B4"/>
    <w:rsid w:val="00111522"/>
    <w:rsid w:val="001116D2"/>
    <w:rsid w:val="0011185A"/>
    <w:rsid w:val="00111A98"/>
    <w:rsid w:val="001127E7"/>
    <w:rsid w:val="0011288C"/>
    <w:rsid w:val="00112950"/>
    <w:rsid w:val="00112A79"/>
    <w:rsid w:val="00112F5E"/>
    <w:rsid w:val="00112F7A"/>
    <w:rsid w:val="00113B42"/>
    <w:rsid w:val="00113E7E"/>
    <w:rsid w:val="0011404C"/>
    <w:rsid w:val="00114488"/>
    <w:rsid w:val="0011473D"/>
    <w:rsid w:val="00115A51"/>
    <w:rsid w:val="00115B85"/>
    <w:rsid w:val="001161C7"/>
    <w:rsid w:val="00116295"/>
    <w:rsid w:val="00116618"/>
    <w:rsid w:val="0011667C"/>
    <w:rsid w:val="00116AC0"/>
    <w:rsid w:val="00116AE0"/>
    <w:rsid w:val="00116BDF"/>
    <w:rsid w:val="00117EBC"/>
    <w:rsid w:val="00120218"/>
    <w:rsid w:val="0012042C"/>
    <w:rsid w:val="00120584"/>
    <w:rsid w:val="00121052"/>
    <w:rsid w:val="00121233"/>
    <w:rsid w:val="001213D9"/>
    <w:rsid w:val="001216B2"/>
    <w:rsid w:val="00121DDF"/>
    <w:rsid w:val="00123C2D"/>
    <w:rsid w:val="00123FD7"/>
    <w:rsid w:val="00124041"/>
    <w:rsid w:val="00124269"/>
    <w:rsid w:val="001243F3"/>
    <w:rsid w:val="001246C0"/>
    <w:rsid w:val="0012480D"/>
    <w:rsid w:val="00124C04"/>
    <w:rsid w:val="00125BA3"/>
    <w:rsid w:val="00125EF4"/>
    <w:rsid w:val="00125F18"/>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090A"/>
    <w:rsid w:val="0013131F"/>
    <w:rsid w:val="0013158E"/>
    <w:rsid w:val="0013195E"/>
    <w:rsid w:val="00131BAD"/>
    <w:rsid w:val="00131D35"/>
    <w:rsid w:val="00131E5E"/>
    <w:rsid w:val="001321BC"/>
    <w:rsid w:val="00132486"/>
    <w:rsid w:val="00132AA0"/>
    <w:rsid w:val="00133058"/>
    <w:rsid w:val="0013337D"/>
    <w:rsid w:val="00134213"/>
    <w:rsid w:val="00134263"/>
    <w:rsid w:val="0013434A"/>
    <w:rsid w:val="001343E2"/>
    <w:rsid w:val="00134C98"/>
    <w:rsid w:val="00134E08"/>
    <w:rsid w:val="00134FC5"/>
    <w:rsid w:val="00135268"/>
    <w:rsid w:val="00135888"/>
    <w:rsid w:val="00135D72"/>
    <w:rsid w:val="001363DF"/>
    <w:rsid w:val="001365D5"/>
    <w:rsid w:val="00136B7B"/>
    <w:rsid w:val="00136D94"/>
    <w:rsid w:val="00136E60"/>
    <w:rsid w:val="00137279"/>
    <w:rsid w:val="001374B3"/>
    <w:rsid w:val="001376F7"/>
    <w:rsid w:val="0013772C"/>
    <w:rsid w:val="00137970"/>
    <w:rsid w:val="0014012C"/>
    <w:rsid w:val="00140193"/>
    <w:rsid w:val="001402CF"/>
    <w:rsid w:val="00140A82"/>
    <w:rsid w:val="00140F3A"/>
    <w:rsid w:val="0014126A"/>
    <w:rsid w:val="0014138F"/>
    <w:rsid w:val="001415E8"/>
    <w:rsid w:val="00141B99"/>
    <w:rsid w:val="0014241E"/>
    <w:rsid w:val="00142659"/>
    <w:rsid w:val="001429C8"/>
    <w:rsid w:val="00142B12"/>
    <w:rsid w:val="00142DA1"/>
    <w:rsid w:val="00142DB4"/>
    <w:rsid w:val="001430CF"/>
    <w:rsid w:val="0014333B"/>
    <w:rsid w:val="00143704"/>
    <w:rsid w:val="0014378E"/>
    <w:rsid w:val="00143939"/>
    <w:rsid w:val="00143B7A"/>
    <w:rsid w:val="00143C1C"/>
    <w:rsid w:val="001445A4"/>
    <w:rsid w:val="00144B31"/>
    <w:rsid w:val="001450E0"/>
    <w:rsid w:val="00145F1C"/>
    <w:rsid w:val="00146010"/>
    <w:rsid w:val="0014685D"/>
    <w:rsid w:val="001472B2"/>
    <w:rsid w:val="00147407"/>
    <w:rsid w:val="0014778B"/>
    <w:rsid w:val="00150057"/>
    <w:rsid w:val="0015008A"/>
    <w:rsid w:val="001509F7"/>
    <w:rsid w:val="00150BF7"/>
    <w:rsid w:val="00150C0E"/>
    <w:rsid w:val="00150F4B"/>
    <w:rsid w:val="00151124"/>
    <w:rsid w:val="00151370"/>
    <w:rsid w:val="001513A3"/>
    <w:rsid w:val="001513D7"/>
    <w:rsid w:val="001515A7"/>
    <w:rsid w:val="0015166B"/>
    <w:rsid w:val="00151C39"/>
    <w:rsid w:val="00151EFB"/>
    <w:rsid w:val="00152B8F"/>
    <w:rsid w:val="00152BEA"/>
    <w:rsid w:val="00152F82"/>
    <w:rsid w:val="00154249"/>
    <w:rsid w:val="001546BA"/>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3D8"/>
    <w:rsid w:val="0016068D"/>
    <w:rsid w:val="001609FD"/>
    <w:rsid w:val="00160B84"/>
    <w:rsid w:val="00160CAF"/>
    <w:rsid w:val="00160F52"/>
    <w:rsid w:val="0016104E"/>
    <w:rsid w:val="001616B6"/>
    <w:rsid w:val="00161C3B"/>
    <w:rsid w:val="00161C6D"/>
    <w:rsid w:val="00162472"/>
    <w:rsid w:val="00162647"/>
    <w:rsid w:val="001628A4"/>
    <w:rsid w:val="00162CE6"/>
    <w:rsid w:val="00162E64"/>
    <w:rsid w:val="001634D1"/>
    <w:rsid w:val="00163D29"/>
    <w:rsid w:val="00164845"/>
    <w:rsid w:val="001650C4"/>
    <w:rsid w:val="00165285"/>
    <w:rsid w:val="001655E0"/>
    <w:rsid w:val="00165F8E"/>
    <w:rsid w:val="00166002"/>
    <w:rsid w:val="00166018"/>
    <w:rsid w:val="00166155"/>
    <w:rsid w:val="00166346"/>
    <w:rsid w:val="0016645C"/>
    <w:rsid w:val="001672C9"/>
    <w:rsid w:val="00167302"/>
    <w:rsid w:val="001673D8"/>
    <w:rsid w:val="00167518"/>
    <w:rsid w:val="00170134"/>
    <w:rsid w:val="00170AC8"/>
    <w:rsid w:val="00170F79"/>
    <w:rsid w:val="0017111D"/>
    <w:rsid w:val="00171AC0"/>
    <w:rsid w:val="0017289D"/>
    <w:rsid w:val="00172AE4"/>
    <w:rsid w:val="00173196"/>
    <w:rsid w:val="0017374D"/>
    <w:rsid w:val="0017386F"/>
    <w:rsid w:val="00173D47"/>
    <w:rsid w:val="001745CE"/>
    <w:rsid w:val="00174654"/>
    <w:rsid w:val="001748EE"/>
    <w:rsid w:val="00174906"/>
    <w:rsid w:val="001749A3"/>
    <w:rsid w:val="0017597B"/>
    <w:rsid w:val="001763F3"/>
    <w:rsid w:val="001764E1"/>
    <w:rsid w:val="0017695C"/>
    <w:rsid w:val="001769A0"/>
    <w:rsid w:val="001778C4"/>
    <w:rsid w:val="001779E2"/>
    <w:rsid w:val="00177A7D"/>
    <w:rsid w:val="00177AB3"/>
    <w:rsid w:val="00177E33"/>
    <w:rsid w:val="001800AF"/>
    <w:rsid w:val="00180101"/>
    <w:rsid w:val="001807D6"/>
    <w:rsid w:val="00180C80"/>
    <w:rsid w:val="001812C2"/>
    <w:rsid w:val="001816F5"/>
    <w:rsid w:val="001821E6"/>
    <w:rsid w:val="00182384"/>
    <w:rsid w:val="001828E9"/>
    <w:rsid w:val="00182C22"/>
    <w:rsid w:val="00182D91"/>
    <w:rsid w:val="001833C0"/>
    <w:rsid w:val="001841EF"/>
    <w:rsid w:val="00184E74"/>
    <w:rsid w:val="00184F3E"/>
    <w:rsid w:val="0018536A"/>
    <w:rsid w:val="001855C7"/>
    <w:rsid w:val="0018564D"/>
    <w:rsid w:val="00185870"/>
    <w:rsid w:val="001863FA"/>
    <w:rsid w:val="001868C9"/>
    <w:rsid w:val="00187045"/>
    <w:rsid w:val="0018720F"/>
    <w:rsid w:val="00187AA4"/>
    <w:rsid w:val="00187CC5"/>
    <w:rsid w:val="00187FE3"/>
    <w:rsid w:val="001913DD"/>
    <w:rsid w:val="00191B51"/>
    <w:rsid w:val="00192104"/>
    <w:rsid w:val="0019227C"/>
    <w:rsid w:val="0019240F"/>
    <w:rsid w:val="0019253B"/>
    <w:rsid w:val="0019294F"/>
    <w:rsid w:val="00192A39"/>
    <w:rsid w:val="00192AA1"/>
    <w:rsid w:val="00192BB9"/>
    <w:rsid w:val="00192CB6"/>
    <w:rsid w:val="00192FBB"/>
    <w:rsid w:val="0019341F"/>
    <w:rsid w:val="001935DA"/>
    <w:rsid w:val="00193655"/>
    <w:rsid w:val="00193DCF"/>
    <w:rsid w:val="0019441D"/>
    <w:rsid w:val="001948A5"/>
    <w:rsid w:val="00194B63"/>
    <w:rsid w:val="00194E77"/>
    <w:rsid w:val="00194E8C"/>
    <w:rsid w:val="001950AF"/>
    <w:rsid w:val="0019574B"/>
    <w:rsid w:val="0019579A"/>
    <w:rsid w:val="001958A2"/>
    <w:rsid w:val="00195A44"/>
    <w:rsid w:val="00196396"/>
    <w:rsid w:val="0019684E"/>
    <w:rsid w:val="0019686E"/>
    <w:rsid w:val="00196DB7"/>
    <w:rsid w:val="00196EB5"/>
    <w:rsid w:val="001970F5"/>
    <w:rsid w:val="001976FC"/>
    <w:rsid w:val="00197719"/>
    <w:rsid w:val="00197C1E"/>
    <w:rsid w:val="001A02A4"/>
    <w:rsid w:val="001A0BCE"/>
    <w:rsid w:val="001A0F82"/>
    <w:rsid w:val="001A11DA"/>
    <w:rsid w:val="001A191E"/>
    <w:rsid w:val="001A207D"/>
    <w:rsid w:val="001A2152"/>
    <w:rsid w:val="001A21B5"/>
    <w:rsid w:val="001A231A"/>
    <w:rsid w:val="001A249E"/>
    <w:rsid w:val="001A2504"/>
    <w:rsid w:val="001A2D35"/>
    <w:rsid w:val="001A363A"/>
    <w:rsid w:val="001A37FE"/>
    <w:rsid w:val="001A3AED"/>
    <w:rsid w:val="001A3C5D"/>
    <w:rsid w:val="001A3EB3"/>
    <w:rsid w:val="001A418B"/>
    <w:rsid w:val="001A43B3"/>
    <w:rsid w:val="001A4D02"/>
    <w:rsid w:val="001A5C1D"/>
    <w:rsid w:val="001A6280"/>
    <w:rsid w:val="001A63CD"/>
    <w:rsid w:val="001A6EC8"/>
    <w:rsid w:val="001A745F"/>
    <w:rsid w:val="001A7719"/>
    <w:rsid w:val="001A7942"/>
    <w:rsid w:val="001A7B88"/>
    <w:rsid w:val="001A7F73"/>
    <w:rsid w:val="001B0247"/>
    <w:rsid w:val="001B0D2B"/>
    <w:rsid w:val="001B1688"/>
    <w:rsid w:val="001B17F6"/>
    <w:rsid w:val="001B1890"/>
    <w:rsid w:val="001B1CBB"/>
    <w:rsid w:val="001B1D38"/>
    <w:rsid w:val="001B219B"/>
    <w:rsid w:val="001B2302"/>
    <w:rsid w:val="001B262C"/>
    <w:rsid w:val="001B31B2"/>
    <w:rsid w:val="001B369A"/>
    <w:rsid w:val="001B36B3"/>
    <w:rsid w:val="001B36DE"/>
    <w:rsid w:val="001B3917"/>
    <w:rsid w:val="001B3A16"/>
    <w:rsid w:val="001B4050"/>
    <w:rsid w:val="001B4E84"/>
    <w:rsid w:val="001B59FD"/>
    <w:rsid w:val="001B612F"/>
    <w:rsid w:val="001B6195"/>
    <w:rsid w:val="001B6546"/>
    <w:rsid w:val="001B6807"/>
    <w:rsid w:val="001B6B0D"/>
    <w:rsid w:val="001B6CF6"/>
    <w:rsid w:val="001B6FA4"/>
    <w:rsid w:val="001B7566"/>
    <w:rsid w:val="001B7881"/>
    <w:rsid w:val="001B7F59"/>
    <w:rsid w:val="001B7FDA"/>
    <w:rsid w:val="001C05B7"/>
    <w:rsid w:val="001C05FE"/>
    <w:rsid w:val="001C0B71"/>
    <w:rsid w:val="001C0D1F"/>
    <w:rsid w:val="001C0D8B"/>
    <w:rsid w:val="001C0DB1"/>
    <w:rsid w:val="001C1378"/>
    <w:rsid w:val="001C165B"/>
    <w:rsid w:val="001C1A31"/>
    <w:rsid w:val="001C228D"/>
    <w:rsid w:val="001C2633"/>
    <w:rsid w:val="001C2B59"/>
    <w:rsid w:val="001C2CA9"/>
    <w:rsid w:val="001C3187"/>
    <w:rsid w:val="001C3737"/>
    <w:rsid w:val="001C38E5"/>
    <w:rsid w:val="001C3EBB"/>
    <w:rsid w:val="001C46A3"/>
    <w:rsid w:val="001C49C9"/>
    <w:rsid w:val="001C4B98"/>
    <w:rsid w:val="001C4F59"/>
    <w:rsid w:val="001C4F78"/>
    <w:rsid w:val="001C5318"/>
    <w:rsid w:val="001C5B5A"/>
    <w:rsid w:val="001C5D64"/>
    <w:rsid w:val="001C60C1"/>
    <w:rsid w:val="001C6275"/>
    <w:rsid w:val="001C62F7"/>
    <w:rsid w:val="001C6714"/>
    <w:rsid w:val="001C6807"/>
    <w:rsid w:val="001C6ECF"/>
    <w:rsid w:val="001C74A1"/>
    <w:rsid w:val="001C77D7"/>
    <w:rsid w:val="001C79B0"/>
    <w:rsid w:val="001C7F7C"/>
    <w:rsid w:val="001D009B"/>
    <w:rsid w:val="001D0330"/>
    <w:rsid w:val="001D0801"/>
    <w:rsid w:val="001D086A"/>
    <w:rsid w:val="001D0939"/>
    <w:rsid w:val="001D09ED"/>
    <w:rsid w:val="001D0C5D"/>
    <w:rsid w:val="001D0D0C"/>
    <w:rsid w:val="001D0E09"/>
    <w:rsid w:val="001D1493"/>
    <w:rsid w:val="001D1571"/>
    <w:rsid w:val="001D171A"/>
    <w:rsid w:val="001D1895"/>
    <w:rsid w:val="001D1AB2"/>
    <w:rsid w:val="001D1F16"/>
    <w:rsid w:val="001D2251"/>
    <w:rsid w:val="001D2356"/>
    <w:rsid w:val="001D24CF"/>
    <w:rsid w:val="001D2867"/>
    <w:rsid w:val="001D28DE"/>
    <w:rsid w:val="001D2EAB"/>
    <w:rsid w:val="001D3125"/>
    <w:rsid w:val="001D32AA"/>
    <w:rsid w:val="001D3714"/>
    <w:rsid w:val="001D432F"/>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E006C"/>
    <w:rsid w:val="001E0262"/>
    <w:rsid w:val="001E056A"/>
    <w:rsid w:val="001E086D"/>
    <w:rsid w:val="001E0DA2"/>
    <w:rsid w:val="001E10A5"/>
    <w:rsid w:val="001E13A1"/>
    <w:rsid w:val="001E21C8"/>
    <w:rsid w:val="001E220B"/>
    <w:rsid w:val="001E2410"/>
    <w:rsid w:val="001E27E4"/>
    <w:rsid w:val="001E284B"/>
    <w:rsid w:val="001E28D0"/>
    <w:rsid w:val="001E3392"/>
    <w:rsid w:val="001E33A0"/>
    <w:rsid w:val="001E3944"/>
    <w:rsid w:val="001E3999"/>
    <w:rsid w:val="001E3A38"/>
    <w:rsid w:val="001E3F8B"/>
    <w:rsid w:val="001E40F8"/>
    <w:rsid w:val="001E4393"/>
    <w:rsid w:val="001E4F28"/>
    <w:rsid w:val="001E57E0"/>
    <w:rsid w:val="001E5A18"/>
    <w:rsid w:val="001E63BA"/>
    <w:rsid w:val="001E6D4F"/>
    <w:rsid w:val="001E6F9F"/>
    <w:rsid w:val="001E7441"/>
    <w:rsid w:val="001E7D1C"/>
    <w:rsid w:val="001F0003"/>
    <w:rsid w:val="001F005B"/>
    <w:rsid w:val="001F0674"/>
    <w:rsid w:val="001F0C79"/>
    <w:rsid w:val="001F11BF"/>
    <w:rsid w:val="001F1381"/>
    <w:rsid w:val="001F14D2"/>
    <w:rsid w:val="001F184A"/>
    <w:rsid w:val="001F1971"/>
    <w:rsid w:val="001F1E67"/>
    <w:rsid w:val="001F222D"/>
    <w:rsid w:val="001F22D2"/>
    <w:rsid w:val="001F2349"/>
    <w:rsid w:val="001F251B"/>
    <w:rsid w:val="001F28A7"/>
    <w:rsid w:val="001F2A93"/>
    <w:rsid w:val="001F2DA5"/>
    <w:rsid w:val="001F3424"/>
    <w:rsid w:val="001F349C"/>
    <w:rsid w:val="001F3E3D"/>
    <w:rsid w:val="001F401C"/>
    <w:rsid w:val="001F4A87"/>
    <w:rsid w:val="001F509D"/>
    <w:rsid w:val="001F522D"/>
    <w:rsid w:val="001F53DC"/>
    <w:rsid w:val="001F56B2"/>
    <w:rsid w:val="001F58C4"/>
    <w:rsid w:val="001F5A85"/>
    <w:rsid w:val="001F5E8E"/>
    <w:rsid w:val="001F6505"/>
    <w:rsid w:val="001F6E53"/>
    <w:rsid w:val="001F6E8C"/>
    <w:rsid w:val="001F76F5"/>
    <w:rsid w:val="001F7839"/>
    <w:rsid w:val="001F7B05"/>
    <w:rsid w:val="001F7D18"/>
    <w:rsid w:val="001F7F38"/>
    <w:rsid w:val="00200008"/>
    <w:rsid w:val="00200648"/>
    <w:rsid w:val="00200654"/>
    <w:rsid w:val="002006A0"/>
    <w:rsid w:val="0020097B"/>
    <w:rsid w:val="00200996"/>
    <w:rsid w:val="00200A82"/>
    <w:rsid w:val="0020122A"/>
    <w:rsid w:val="002013E5"/>
    <w:rsid w:val="00201E90"/>
    <w:rsid w:val="00203011"/>
    <w:rsid w:val="0020315E"/>
    <w:rsid w:val="0020317D"/>
    <w:rsid w:val="00203309"/>
    <w:rsid w:val="00203982"/>
    <w:rsid w:val="00203ACE"/>
    <w:rsid w:val="00203BCD"/>
    <w:rsid w:val="0020429E"/>
    <w:rsid w:val="00204364"/>
    <w:rsid w:val="00204C21"/>
    <w:rsid w:val="00204CB9"/>
    <w:rsid w:val="00205003"/>
    <w:rsid w:val="00205A1D"/>
    <w:rsid w:val="00206281"/>
    <w:rsid w:val="002065CF"/>
    <w:rsid w:val="00206604"/>
    <w:rsid w:val="0020672B"/>
    <w:rsid w:val="00206803"/>
    <w:rsid w:val="00206D8B"/>
    <w:rsid w:val="00206FE1"/>
    <w:rsid w:val="002074E1"/>
    <w:rsid w:val="002075BB"/>
    <w:rsid w:val="00207A92"/>
    <w:rsid w:val="00207AE1"/>
    <w:rsid w:val="00207EA1"/>
    <w:rsid w:val="00207F2F"/>
    <w:rsid w:val="00210068"/>
    <w:rsid w:val="00210736"/>
    <w:rsid w:val="00210AF5"/>
    <w:rsid w:val="00210D0E"/>
    <w:rsid w:val="00210FC3"/>
    <w:rsid w:val="0021153D"/>
    <w:rsid w:val="00211609"/>
    <w:rsid w:val="00211976"/>
    <w:rsid w:val="002119B5"/>
    <w:rsid w:val="00211C45"/>
    <w:rsid w:val="00211DFB"/>
    <w:rsid w:val="00211E90"/>
    <w:rsid w:val="00211E93"/>
    <w:rsid w:val="00211F41"/>
    <w:rsid w:val="00211F55"/>
    <w:rsid w:val="00211FB6"/>
    <w:rsid w:val="002122E1"/>
    <w:rsid w:val="00212520"/>
    <w:rsid w:val="002127B3"/>
    <w:rsid w:val="00212926"/>
    <w:rsid w:val="00212FED"/>
    <w:rsid w:val="0021352E"/>
    <w:rsid w:val="00214A42"/>
    <w:rsid w:val="00214A63"/>
    <w:rsid w:val="00214D89"/>
    <w:rsid w:val="00214DD2"/>
    <w:rsid w:val="002156CA"/>
    <w:rsid w:val="002157F2"/>
    <w:rsid w:val="00216631"/>
    <w:rsid w:val="0021671A"/>
    <w:rsid w:val="00216768"/>
    <w:rsid w:val="00216C49"/>
    <w:rsid w:val="00217093"/>
    <w:rsid w:val="002174A2"/>
    <w:rsid w:val="00217FCC"/>
    <w:rsid w:val="002206A9"/>
    <w:rsid w:val="00220A7B"/>
    <w:rsid w:val="00220DBB"/>
    <w:rsid w:val="002210EE"/>
    <w:rsid w:val="002215EF"/>
    <w:rsid w:val="00221717"/>
    <w:rsid w:val="00221B80"/>
    <w:rsid w:val="00221DAA"/>
    <w:rsid w:val="002220AD"/>
    <w:rsid w:val="00222134"/>
    <w:rsid w:val="00222288"/>
    <w:rsid w:val="002222A2"/>
    <w:rsid w:val="00222450"/>
    <w:rsid w:val="00222654"/>
    <w:rsid w:val="002227AD"/>
    <w:rsid w:val="002228CA"/>
    <w:rsid w:val="0022298F"/>
    <w:rsid w:val="00222A67"/>
    <w:rsid w:val="00222D67"/>
    <w:rsid w:val="00222EDE"/>
    <w:rsid w:val="00222F47"/>
    <w:rsid w:val="00222F8F"/>
    <w:rsid w:val="00223225"/>
    <w:rsid w:val="002235C9"/>
    <w:rsid w:val="002239BD"/>
    <w:rsid w:val="00223B7E"/>
    <w:rsid w:val="00223C32"/>
    <w:rsid w:val="00223D5E"/>
    <w:rsid w:val="0022402F"/>
    <w:rsid w:val="0022422F"/>
    <w:rsid w:val="00224350"/>
    <w:rsid w:val="002247AB"/>
    <w:rsid w:val="00224DBA"/>
    <w:rsid w:val="0022541C"/>
    <w:rsid w:val="002259F3"/>
    <w:rsid w:val="00226890"/>
    <w:rsid w:val="00226D15"/>
    <w:rsid w:val="002271CE"/>
    <w:rsid w:val="00227321"/>
    <w:rsid w:val="00227931"/>
    <w:rsid w:val="00227A68"/>
    <w:rsid w:val="00227C7A"/>
    <w:rsid w:val="00227F10"/>
    <w:rsid w:val="00230A6E"/>
    <w:rsid w:val="00231A8D"/>
    <w:rsid w:val="00231C62"/>
    <w:rsid w:val="00231E36"/>
    <w:rsid w:val="00232248"/>
    <w:rsid w:val="002325E0"/>
    <w:rsid w:val="00232E1C"/>
    <w:rsid w:val="00232EBE"/>
    <w:rsid w:val="00233363"/>
    <w:rsid w:val="00233522"/>
    <w:rsid w:val="0023358F"/>
    <w:rsid w:val="002336C0"/>
    <w:rsid w:val="002337B8"/>
    <w:rsid w:val="002338A0"/>
    <w:rsid w:val="00233E24"/>
    <w:rsid w:val="00233E5D"/>
    <w:rsid w:val="002347B4"/>
    <w:rsid w:val="00234F33"/>
    <w:rsid w:val="00234F72"/>
    <w:rsid w:val="002357F2"/>
    <w:rsid w:val="0023596E"/>
    <w:rsid w:val="00235D8C"/>
    <w:rsid w:val="00235D9E"/>
    <w:rsid w:val="00235E50"/>
    <w:rsid w:val="00236BEF"/>
    <w:rsid w:val="00236CD9"/>
    <w:rsid w:val="002374CA"/>
    <w:rsid w:val="00237706"/>
    <w:rsid w:val="00237A24"/>
    <w:rsid w:val="00237E40"/>
    <w:rsid w:val="00240397"/>
    <w:rsid w:val="00240596"/>
    <w:rsid w:val="002406D6"/>
    <w:rsid w:val="0024098D"/>
    <w:rsid w:val="00240E3B"/>
    <w:rsid w:val="0024163D"/>
    <w:rsid w:val="00241D23"/>
    <w:rsid w:val="00241F1A"/>
    <w:rsid w:val="002420E9"/>
    <w:rsid w:val="0024223B"/>
    <w:rsid w:val="00242738"/>
    <w:rsid w:val="00242931"/>
    <w:rsid w:val="00242D20"/>
    <w:rsid w:val="0024323C"/>
    <w:rsid w:val="00243684"/>
    <w:rsid w:val="00244258"/>
    <w:rsid w:val="0024468A"/>
    <w:rsid w:val="00244862"/>
    <w:rsid w:val="002450CE"/>
    <w:rsid w:val="002452EC"/>
    <w:rsid w:val="00245546"/>
    <w:rsid w:val="00245944"/>
    <w:rsid w:val="00245978"/>
    <w:rsid w:val="00245DE6"/>
    <w:rsid w:val="00245F22"/>
    <w:rsid w:val="00246494"/>
    <w:rsid w:val="00246841"/>
    <w:rsid w:val="00246AFD"/>
    <w:rsid w:val="00246EC4"/>
    <w:rsid w:val="002470CE"/>
    <w:rsid w:val="002475F4"/>
    <w:rsid w:val="002479A4"/>
    <w:rsid w:val="00250216"/>
    <w:rsid w:val="0025043C"/>
    <w:rsid w:val="002506C3"/>
    <w:rsid w:val="00250F94"/>
    <w:rsid w:val="002511C4"/>
    <w:rsid w:val="0025134E"/>
    <w:rsid w:val="002521B4"/>
    <w:rsid w:val="00252227"/>
    <w:rsid w:val="002523A8"/>
    <w:rsid w:val="002524AC"/>
    <w:rsid w:val="00252747"/>
    <w:rsid w:val="002528AF"/>
    <w:rsid w:val="00252B7D"/>
    <w:rsid w:val="00252EAA"/>
    <w:rsid w:val="002534E0"/>
    <w:rsid w:val="0025359D"/>
    <w:rsid w:val="00253B05"/>
    <w:rsid w:val="00253D18"/>
    <w:rsid w:val="002540BD"/>
    <w:rsid w:val="0025461A"/>
    <w:rsid w:val="002546C6"/>
    <w:rsid w:val="00254C20"/>
    <w:rsid w:val="00255484"/>
    <w:rsid w:val="002555FF"/>
    <w:rsid w:val="00255C3A"/>
    <w:rsid w:val="002560DA"/>
    <w:rsid w:val="002564A4"/>
    <w:rsid w:val="00256FE0"/>
    <w:rsid w:val="0025704A"/>
    <w:rsid w:val="00257126"/>
    <w:rsid w:val="00257B86"/>
    <w:rsid w:val="00257BB1"/>
    <w:rsid w:val="00257BB2"/>
    <w:rsid w:val="00257D74"/>
    <w:rsid w:val="00260227"/>
    <w:rsid w:val="0026037C"/>
    <w:rsid w:val="0026072E"/>
    <w:rsid w:val="002608DC"/>
    <w:rsid w:val="00260AA9"/>
    <w:rsid w:val="002619EC"/>
    <w:rsid w:val="002620EE"/>
    <w:rsid w:val="00262339"/>
    <w:rsid w:val="00262564"/>
    <w:rsid w:val="002628D7"/>
    <w:rsid w:val="00262D10"/>
    <w:rsid w:val="00262F9B"/>
    <w:rsid w:val="002631D1"/>
    <w:rsid w:val="002633CA"/>
    <w:rsid w:val="002634CA"/>
    <w:rsid w:val="00263967"/>
    <w:rsid w:val="002639CF"/>
    <w:rsid w:val="00263F2C"/>
    <w:rsid w:val="00264E15"/>
    <w:rsid w:val="0026517F"/>
    <w:rsid w:val="00265189"/>
    <w:rsid w:val="002655DA"/>
    <w:rsid w:val="00265B4D"/>
    <w:rsid w:val="002662D8"/>
    <w:rsid w:val="0026691F"/>
    <w:rsid w:val="00266F81"/>
    <w:rsid w:val="00267085"/>
    <w:rsid w:val="002672E0"/>
    <w:rsid w:val="002678A7"/>
    <w:rsid w:val="00267ABB"/>
    <w:rsid w:val="00267B02"/>
    <w:rsid w:val="00270CBF"/>
    <w:rsid w:val="00270EC8"/>
    <w:rsid w:val="00270FB6"/>
    <w:rsid w:val="00271018"/>
    <w:rsid w:val="00271241"/>
    <w:rsid w:val="002712A7"/>
    <w:rsid w:val="002715B2"/>
    <w:rsid w:val="002716DF"/>
    <w:rsid w:val="002717E2"/>
    <w:rsid w:val="00271BE9"/>
    <w:rsid w:val="00271BFC"/>
    <w:rsid w:val="00271EC3"/>
    <w:rsid w:val="00272196"/>
    <w:rsid w:val="00272620"/>
    <w:rsid w:val="00272621"/>
    <w:rsid w:val="00272E64"/>
    <w:rsid w:val="00273354"/>
    <w:rsid w:val="00273C25"/>
    <w:rsid w:val="0027412C"/>
    <w:rsid w:val="00274DF0"/>
    <w:rsid w:val="0027577D"/>
    <w:rsid w:val="00275AB9"/>
    <w:rsid w:val="00275B55"/>
    <w:rsid w:val="00276735"/>
    <w:rsid w:val="002768B3"/>
    <w:rsid w:val="00276948"/>
    <w:rsid w:val="00276E5F"/>
    <w:rsid w:val="00276FC8"/>
    <w:rsid w:val="002770E5"/>
    <w:rsid w:val="00277376"/>
    <w:rsid w:val="002775D3"/>
    <w:rsid w:val="002778BF"/>
    <w:rsid w:val="00280276"/>
    <w:rsid w:val="002804EF"/>
    <w:rsid w:val="00280B74"/>
    <w:rsid w:val="00280CFC"/>
    <w:rsid w:val="0028125D"/>
    <w:rsid w:val="0028133F"/>
    <w:rsid w:val="002817A7"/>
    <w:rsid w:val="00281811"/>
    <w:rsid w:val="00281A4A"/>
    <w:rsid w:val="00281E0E"/>
    <w:rsid w:val="00281E7C"/>
    <w:rsid w:val="002824B4"/>
    <w:rsid w:val="0028256D"/>
    <w:rsid w:val="002829FE"/>
    <w:rsid w:val="00283369"/>
    <w:rsid w:val="00283A1A"/>
    <w:rsid w:val="00283A52"/>
    <w:rsid w:val="00283F17"/>
    <w:rsid w:val="00284349"/>
    <w:rsid w:val="00284592"/>
    <w:rsid w:val="0028481E"/>
    <w:rsid w:val="00284DD7"/>
    <w:rsid w:val="00284E4E"/>
    <w:rsid w:val="00284F93"/>
    <w:rsid w:val="00285209"/>
    <w:rsid w:val="002858E1"/>
    <w:rsid w:val="00285B51"/>
    <w:rsid w:val="00285E58"/>
    <w:rsid w:val="00285EFB"/>
    <w:rsid w:val="00285F32"/>
    <w:rsid w:val="00285F79"/>
    <w:rsid w:val="00286400"/>
    <w:rsid w:val="00286575"/>
    <w:rsid w:val="00286595"/>
    <w:rsid w:val="002865AD"/>
    <w:rsid w:val="002869E6"/>
    <w:rsid w:val="00287D4D"/>
    <w:rsid w:val="00287F1B"/>
    <w:rsid w:val="00287F21"/>
    <w:rsid w:val="0029065E"/>
    <w:rsid w:val="0029093C"/>
    <w:rsid w:val="00290BF8"/>
    <w:rsid w:val="00290D4E"/>
    <w:rsid w:val="00291387"/>
    <w:rsid w:val="00291511"/>
    <w:rsid w:val="0029182D"/>
    <w:rsid w:val="00291AA5"/>
    <w:rsid w:val="0029236F"/>
    <w:rsid w:val="00292A1A"/>
    <w:rsid w:val="0029332E"/>
    <w:rsid w:val="00293445"/>
    <w:rsid w:val="002935FC"/>
    <w:rsid w:val="002935FE"/>
    <w:rsid w:val="00293933"/>
    <w:rsid w:val="0029404A"/>
    <w:rsid w:val="0029407B"/>
    <w:rsid w:val="00294340"/>
    <w:rsid w:val="0029445E"/>
    <w:rsid w:val="002944A7"/>
    <w:rsid w:val="002944E7"/>
    <w:rsid w:val="002946CB"/>
    <w:rsid w:val="00294B5C"/>
    <w:rsid w:val="00294C3C"/>
    <w:rsid w:val="00294DA1"/>
    <w:rsid w:val="00294DBD"/>
    <w:rsid w:val="00294EA2"/>
    <w:rsid w:val="00294F89"/>
    <w:rsid w:val="00295356"/>
    <w:rsid w:val="0029561F"/>
    <w:rsid w:val="00295841"/>
    <w:rsid w:val="00295CE0"/>
    <w:rsid w:val="00296738"/>
    <w:rsid w:val="0029724A"/>
    <w:rsid w:val="002977AF"/>
    <w:rsid w:val="00297983"/>
    <w:rsid w:val="002979B4"/>
    <w:rsid w:val="00297C91"/>
    <w:rsid w:val="00297E6B"/>
    <w:rsid w:val="002A05A2"/>
    <w:rsid w:val="002A1007"/>
    <w:rsid w:val="002A131C"/>
    <w:rsid w:val="002A166A"/>
    <w:rsid w:val="002A1EC3"/>
    <w:rsid w:val="002A246F"/>
    <w:rsid w:val="002A497E"/>
    <w:rsid w:val="002A4B9F"/>
    <w:rsid w:val="002A4F4D"/>
    <w:rsid w:val="002A4FA1"/>
    <w:rsid w:val="002A531B"/>
    <w:rsid w:val="002A61CA"/>
    <w:rsid w:val="002A6996"/>
    <w:rsid w:val="002A6B26"/>
    <w:rsid w:val="002A6B39"/>
    <w:rsid w:val="002A6DC1"/>
    <w:rsid w:val="002A717D"/>
    <w:rsid w:val="002A76B2"/>
    <w:rsid w:val="002A7821"/>
    <w:rsid w:val="002A784D"/>
    <w:rsid w:val="002B01D5"/>
    <w:rsid w:val="002B04D3"/>
    <w:rsid w:val="002B0EC5"/>
    <w:rsid w:val="002B0FF0"/>
    <w:rsid w:val="002B1011"/>
    <w:rsid w:val="002B1082"/>
    <w:rsid w:val="002B11F7"/>
    <w:rsid w:val="002B1343"/>
    <w:rsid w:val="002B13EA"/>
    <w:rsid w:val="002B1557"/>
    <w:rsid w:val="002B15D7"/>
    <w:rsid w:val="002B184F"/>
    <w:rsid w:val="002B1A48"/>
    <w:rsid w:val="002B1F2B"/>
    <w:rsid w:val="002B20C4"/>
    <w:rsid w:val="002B237C"/>
    <w:rsid w:val="002B2433"/>
    <w:rsid w:val="002B319E"/>
    <w:rsid w:val="002B3348"/>
    <w:rsid w:val="002B3603"/>
    <w:rsid w:val="002B3A74"/>
    <w:rsid w:val="002B3AF3"/>
    <w:rsid w:val="002B42D1"/>
    <w:rsid w:val="002B4467"/>
    <w:rsid w:val="002B5273"/>
    <w:rsid w:val="002B53AB"/>
    <w:rsid w:val="002B562F"/>
    <w:rsid w:val="002B5A4C"/>
    <w:rsid w:val="002B702F"/>
    <w:rsid w:val="002B76C1"/>
    <w:rsid w:val="002B7718"/>
    <w:rsid w:val="002C00C4"/>
    <w:rsid w:val="002C049B"/>
    <w:rsid w:val="002C0576"/>
    <w:rsid w:val="002C087B"/>
    <w:rsid w:val="002C0C59"/>
    <w:rsid w:val="002C1518"/>
    <w:rsid w:val="002C15CF"/>
    <w:rsid w:val="002C1EA7"/>
    <w:rsid w:val="002C2145"/>
    <w:rsid w:val="002C25BC"/>
    <w:rsid w:val="002C25BF"/>
    <w:rsid w:val="002C26CD"/>
    <w:rsid w:val="002C2A0D"/>
    <w:rsid w:val="002C3257"/>
    <w:rsid w:val="002C329A"/>
    <w:rsid w:val="002C334E"/>
    <w:rsid w:val="002C3C8E"/>
    <w:rsid w:val="002C3CA8"/>
    <w:rsid w:val="002C3FE5"/>
    <w:rsid w:val="002C4363"/>
    <w:rsid w:val="002C438A"/>
    <w:rsid w:val="002C461A"/>
    <w:rsid w:val="002C4898"/>
    <w:rsid w:val="002C4C1D"/>
    <w:rsid w:val="002C4C43"/>
    <w:rsid w:val="002C56C2"/>
    <w:rsid w:val="002C57C8"/>
    <w:rsid w:val="002C5C11"/>
    <w:rsid w:val="002C6BC3"/>
    <w:rsid w:val="002C6D82"/>
    <w:rsid w:val="002C7108"/>
    <w:rsid w:val="002D0115"/>
    <w:rsid w:val="002D0CA9"/>
    <w:rsid w:val="002D0E9D"/>
    <w:rsid w:val="002D103C"/>
    <w:rsid w:val="002D13AA"/>
    <w:rsid w:val="002D1CA3"/>
    <w:rsid w:val="002D1D80"/>
    <w:rsid w:val="002D1DC8"/>
    <w:rsid w:val="002D202E"/>
    <w:rsid w:val="002D205D"/>
    <w:rsid w:val="002D24B9"/>
    <w:rsid w:val="002D278F"/>
    <w:rsid w:val="002D2AC3"/>
    <w:rsid w:val="002D3048"/>
    <w:rsid w:val="002D391E"/>
    <w:rsid w:val="002D3DF4"/>
    <w:rsid w:val="002D3F25"/>
    <w:rsid w:val="002D3F27"/>
    <w:rsid w:val="002D42F2"/>
    <w:rsid w:val="002D46DD"/>
    <w:rsid w:val="002D4B6E"/>
    <w:rsid w:val="002D4BC2"/>
    <w:rsid w:val="002D4BD7"/>
    <w:rsid w:val="002D4BE7"/>
    <w:rsid w:val="002D56DD"/>
    <w:rsid w:val="002D598D"/>
    <w:rsid w:val="002D5C50"/>
    <w:rsid w:val="002D5EC0"/>
    <w:rsid w:val="002D621A"/>
    <w:rsid w:val="002D62C3"/>
    <w:rsid w:val="002D68E7"/>
    <w:rsid w:val="002D746D"/>
    <w:rsid w:val="002D756C"/>
    <w:rsid w:val="002D7DFD"/>
    <w:rsid w:val="002D7FE6"/>
    <w:rsid w:val="002E03F5"/>
    <w:rsid w:val="002E04DB"/>
    <w:rsid w:val="002E10E9"/>
    <w:rsid w:val="002E14C2"/>
    <w:rsid w:val="002E177C"/>
    <w:rsid w:val="002E19AA"/>
    <w:rsid w:val="002E19D4"/>
    <w:rsid w:val="002E1A29"/>
    <w:rsid w:val="002E1F67"/>
    <w:rsid w:val="002E2017"/>
    <w:rsid w:val="002E222E"/>
    <w:rsid w:val="002E2329"/>
    <w:rsid w:val="002E246C"/>
    <w:rsid w:val="002E2D81"/>
    <w:rsid w:val="002E2FC7"/>
    <w:rsid w:val="002E31E4"/>
    <w:rsid w:val="002E39F3"/>
    <w:rsid w:val="002E3C80"/>
    <w:rsid w:val="002E40F6"/>
    <w:rsid w:val="002E45D0"/>
    <w:rsid w:val="002E460A"/>
    <w:rsid w:val="002E467D"/>
    <w:rsid w:val="002E4A3C"/>
    <w:rsid w:val="002E4BF6"/>
    <w:rsid w:val="002E4E34"/>
    <w:rsid w:val="002E4E5D"/>
    <w:rsid w:val="002E4EFB"/>
    <w:rsid w:val="002E53A7"/>
    <w:rsid w:val="002E5BFB"/>
    <w:rsid w:val="002E61D2"/>
    <w:rsid w:val="002E6E68"/>
    <w:rsid w:val="002E7262"/>
    <w:rsid w:val="002E7506"/>
    <w:rsid w:val="002E7666"/>
    <w:rsid w:val="002E76E4"/>
    <w:rsid w:val="002E7AA7"/>
    <w:rsid w:val="002E7B63"/>
    <w:rsid w:val="002F026B"/>
    <w:rsid w:val="002F04E8"/>
    <w:rsid w:val="002F0B7D"/>
    <w:rsid w:val="002F0F92"/>
    <w:rsid w:val="002F11BC"/>
    <w:rsid w:val="002F17C3"/>
    <w:rsid w:val="002F1AE5"/>
    <w:rsid w:val="002F21CC"/>
    <w:rsid w:val="002F2681"/>
    <w:rsid w:val="002F2BD3"/>
    <w:rsid w:val="002F2E44"/>
    <w:rsid w:val="002F2F5D"/>
    <w:rsid w:val="002F398E"/>
    <w:rsid w:val="002F3E8F"/>
    <w:rsid w:val="002F3F0F"/>
    <w:rsid w:val="002F41C8"/>
    <w:rsid w:val="002F466B"/>
    <w:rsid w:val="002F492A"/>
    <w:rsid w:val="002F5144"/>
    <w:rsid w:val="002F55AF"/>
    <w:rsid w:val="002F5609"/>
    <w:rsid w:val="002F5853"/>
    <w:rsid w:val="002F5B35"/>
    <w:rsid w:val="002F5D4C"/>
    <w:rsid w:val="002F5DF1"/>
    <w:rsid w:val="002F65F6"/>
    <w:rsid w:val="002F6635"/>
    <w:rsid w:val="002F6EA7"/>
    <w:rsid w:val="002F73BF"/>
    <w:rsid w:val="002F73D5"/>
    <w:rsid w:val="00300AFD"/>
    <w:rsid w:val="003014BD"/>
    <w:rsid w:val="0030157D"/>
    <w:rsid w:val="00301EFE"/>
    <w:rsid w:val="00302108"/>
    <w:rsid w:val="003024DE"/>
    <w:rsid w:val="00302791"/>
    <w:rsid w:val="003027A0"/>
    <w:rsid w:val="003028AE"/>
    <w:rsid w:val="003028D4"/>
    <w:rsid w:val="00302D5E"/>
    <w:rsid w:val="00302D61"/>
    <w:rsid w:val="00302F40"/>
    <w:rsid w:val="0030427F"/>
    <w:rsid w:val="0030428E"/>
    <w:rsid w:val="003043E6"/>
    <w:rsid w:val="00304A61"/>
    <w:rsid w:val="00304FB6"/>
    <w:rsid w:val="00305D8D"/>
    <w:rsid w:val="0030619A"/>
    <w:rsid w:val="003062CD"/>
    <w:rsid w:val="00306342"/>
    <w:rsid w:val="00306BFA"/>
    <w:rsid w:val="00306C0E"/>
    <w:rsid w:val="00306F45"/>
    <w:rsid w:val="003070BE"/>
    <w:rsid w:val="0030748B"/>
    <w:rsid w:val="00307C5B"/>
    <w:rsid w:val="00307D3D"/>
    <w:rsid w:val="00310108"/>
    <w:rsid w:val="0031019C"/>
    <w:rsid w:val="0031067C"/>
    <w:rsid w:val="003106DC"/>
    <w:rsid w:val="00310801"/>
    <w:rsid w:val="003108EC"/>
    <w:rsid w:val="00310BD3"/>
    <w:rsid w:val="00311085"/>
    <w:rsid w:val="00311360"/>
    <w:rsid w:val="003113C0"/>
    <w:rsid w:val="00311945"/>
    <w:rsid w:val="00311A55"/>
    <w:rsid w:val="003123D5"/>
    <w:rsid w:val="00312412"/>
    <w:rsid w:val="0031271E"/>
    <w:rsid w:val="00312B04"/>
    <w:rsid w:val="00312BF8"/>
    <w:rsid w:val="00312C94"/>
    <w:rsid w:val="0031329E"/>
    <w:rsid w:val="00313320"/>
    <w:rsid w:val="0031354E"/>
    <w:rsid w:val="00313621"/>
    <w:rsid w:val="00313944"/>
    <w:rsid w:val="00313F5E"/>
    <w:rsid w:val="00314250"/>
    <w:rsid w:val="00314326"/>
    <w:rsid w:val="00314669"/>
    <w:rsid w:val="00314A8D"/>
    <w:rsid w:val="00314F8E"/>
    <w:rsid w:val="003151D1"/>
    <w:rsid w:val="00315982"/>
    <w:rsid w:val="00315B98"/>
    <w:rsid w:val="00315C59"/>
    <w:rsid w:val="00315F34"/>
    <w:rsid w:val="00316095"/>
    <w:rsid w:val="00316502"/>
    <w:rsid w:val="00316734"/>
    <w:rsid w:val="0031686F"/>
    <w:rsid w:val="0031750D"/>
    <w:rsid w:val="003177CE"/>
    <w:rsid w:val="003178E0"/>
    <w:rsid w:val="003200B5"/>
    <w:rsid w:val="00320553"/>
    <w:rsid w:val="00320794"/>
    <w:rsid w:val="00320915"/>
    <w:rsid w:val="00320AA6"/>
    <w:rsid w:val="00320DB1"/>
    <w:rsid w:val="00320F64"/>
    <w:rsid w:val="0032103F"/>
    <w:rsid w:val="0032237A"/>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80C"/>
    <w:rsid w:val="00324F2F"/>
    <w:rsid w:val="003254A1"/>
    <w:rsid w:val="003254D6"/>
    <w:rsid w:val="00325516"/>
    <w:rsid w:val="00325899"/>
    <w:rsid w:val="00325DBB"/>
    <w:rsid w:val="00326189"/>
    <w:rsid w:val="00326BD3"/>
    <w:rsid w:val="00326DB4"/>
    <w:rsid w:val="00326DF2"/>
    <w:rsid w:val="00327046"/>
    <w:rsid w:val="003270A1"/>
    <w:rsid w:val="0032768E"/>
    <w:rsid w:val="00327939"/>
    <w:rsid w:val="00327C5B"/>
    <w:rsid w:val="00327EA0"/>
    <w:rsid w:val="00327F92"/>
    <w:rsid w:val="00330277"/>
    <w:rsid w:val="0033039D"/>
    <w:rsid w:val="003306F4"/>
    <w:rsid w:val="003308EB"/>
    <w:rsid w:val="00330D13"/>
    <w:rsid w:val="003319FE"/>
    <w:rsid w:val="00331C5C"/>
    <w:rsid w:val="0033211C"/>
    <w:rsid w:val="003328E6"/>
    <w:rsid w:val="00332C58"/>
    <w:rsid w:val="00332FAB"/>
    <w:rsid w:val="00333209"/>
    <w:rsid w:val="003336AF"/>
    <w:rsid w:val="00334C5D"/>
    <w:rsid w:val="00334C7F"/>
    <w:rsid w:val="003352A6"/>
    <w:rsid w:val="00335577"/>
    <w:rsid w:val="00335968"/>
    <w:rsid w:val="00335F53"/>
    <w:rsid w:val="0033682C"/>
    <w:rsid w:val="00336DC1"/>
    <w:rsid w:val="00337534"/>
    <w:rsid w:val="0033753F"/>
    <w:rsid w:val="0033782A"/>
    <w:rsid w:val="00337B94"/>
    <w:rsid w:val="00340375"/>
    <w:rsid w:val="003404D0"/>
    <w:rsid w:val="00340EE3"/>
    <w:rsid w:val="00340F52"/>
    <w:rsid w:val="00341229"/>
    <w:rsid w:val="00341291"/>
    <w:rsid w:val="0034139E"/>
    <w:rsid w:val="00341BE8"/>
    <w:rsid w:val="00341E42"/>
    <w:rsid w:val="00342663"/>
    <w:rsid w:val="003426FA"/>
    <w:rsid w:val="003428ED"/>
    <w:rsid w:val="00343745"/>
    <w:rsid w:val="003437D2"/>
    <w:rsid w:val="00343BF1"/>
    <w:rsid w:val="00343C2C"/>
    <w:rsid w:val="00343CA3"/>
    <w:rsid w:val="00343EE1"/>
    <w:rsid w:val="00343FFD"/>
    <w:rsid w:val="0034410D"/>
    <w:rsid w:val="00344490"/>
    <w:rsid w:val="00344B78"/>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68B"/>
    <w:rsid w:val="0035093F"/>
    <w:rsid w:val="003516D5"/>
    <w:rsid w:val="003516DA"/>
    <w:rsid w:val="0035191B"/>
    <w:rsid w:val="0035201F"/>
    <w:rsid w:val="0035205C"/>
    <w:rsid w:val="00352144"/>
    <w:rsid w:val="00352625"/>
    <w:rsid w:val="00352995"/>
    <w:rsid w:val="00352E88"/>
    <w:rsid w:val="00352FB1"/>
    <w:rsid w:val="003531B1"/>
    <w:rsid w:val="00353295"/>
    <w:rsid w:val="003536C4"/>
    <w:rsid w:val="003537BD"/>
    <w:rsid w:val="003539D2"/>
    <w:rsid w:val="0035433F"/>
    <w:rsid w:val="003546E7"/>
    <w:rsid w:val="00354735"/>
    <w:rsid w:val="00354AE7"/>
    <w:rsid w:val="00354BA2"/>
    <w:rsid w:val="00354C6A"/>
    <w:rsid w:val="00354E9E"/>
    <w:rsid w:val="0035540E"/>
    <w:rsid w:val="003555E7"/>
    <w:rsid w:val="00355C59"/>
    <w:rsid w:val="00355E0C"/>
    <w:rsid w:val="00355E87"/>
    <w:rsid w:val="00355FFA"/>
    <w:rsid w:val="00356653"/>
    <w:rsid w:val="00356685"/>
    <w:rsid w:val="003577A1"/>
    <w:rsid w:val="00357935"/>
    <w:rsid w:val="00357A88"/>
    <w:rsid w:val="003600F3"/>
    <w:rsid w:val="003602B7"/>
    <w:rsid w:val="00360453"/>
    <w:rsid w:val="00360B39"/>
    <w:rsid w:val="00360DCB"/>
    <w:rsid w:val="00360E40"/>
    <w:rsid w:val="00361118"/>
    <w:rsid w:val="0036174B"/>
    <w:rsid w:val="00361B1B"/>
    <w:rsid w:val="00361D05"/>
    <w:rsid w:val="00361DFE"/>
    <w:rsid w:val="00362415"/>
    <w:rsid w:val="00362427"/>
    <w:rsid w:val="003624E2"/>
    <w:rsid w:val="0036274B"/>
    <w:rsid w:val="00362895"/>
    <w:rsid w:val="00362B53"/>
    <w:rsid w:val="00362F03"/>
    <w:rsid w:val="00363011"/>
    <w:rsid w:val="00363087"/>
    <w:rsid w:val="0036316A"/>
    <w:rsid w:val="0036346B"/>
    <w:rsid w:val="003636C9"/>
    <w:rsid w:val="00363839"/>
    <w:rsid w:val="00363BB1"/>
    <w:rsid w:val="00363BB9"/>
    <w:rsid w:val="00363C24"/>
    <w:rsid w:val="00363E10"/>
    <w:rsid w:val="003640E9"/>
    <w:rsid w:val="00364A58"/>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C94"/>
    <w:rsid w:val="003710E6"/>
    <w:rsid w:val="00371E28"/>
    <w:rsid w:val="0037232B"/>
    <w:rsid w:val="003728C6"/>
    <w:rsid w:val="00372C78"/>
    <w:rsid w:val="00373251"/>
    <w:rsid w:val="003734B5"/>
    <w:rsid w:val="00373A12"/>
    <w:rsid w:val="00373AAD"/>
    <w:rsid w:val="00373E50"/>
    <w:rsid w:val="00373F7F"/>
    <w:rsid w:val="0037487E"/>
    <w:rsid w:val="00374CC6"/>
    <w:rsid w:val="00374E8E"/>
    <w:rsid w:val="00374F09"/>
    <w:rsid w:val="00375103"/>
    <w:rsid w:val="0037524F"/>
    <w:rsid w:val="003754D6"/>
    <w:rsid w:val="00375DC0"/>
    <w:rsid w:val="00375F4A"/>
    <w:rsid w:val="0037604C"/>
    <w:rsid w:val="0037612B"/>
    <w:rsid w:val="00376403"/>
    <w:rsid w:val="00376732"/>
    <w:rsid w:val="00377301"/>
    <w:rsid w:val="00377484"/>
    <w:rsid w:val="00377A7A"/>
    <w:rsid w:val="00377C21"/>
    <w:rsid w:val="00377D7C"/>
    <w:rsid w:val="003802F3"/>
    <w:rsid w:val="00381146"/>
    <w:rsid w:val="00381202"/>
    <w:rsid w:val="00381620"/>
    <w:rsid w:val="0038183B"/>
    <w:rsid w:val="00381891"/>
    <w:rsid w:val="00381981"/>
    <w:rsid w:val="003819D4"/>
    <w:rsid w:val="00381AFB"/>
    <w:rsid w:val="0038207D"/>
    <w:rsid w:val="003824A7"/>
    <w:rsid w:val="003831C3"/>
    <w:rsid w:val="0038343A"/>
    <w:rsid w:val="003837F6"/>
    <w:rsid w:val="0038438D"/>
    <w:rsid w:val="0038476B"/>
    <w:rsid w:val="003848F6"/>
    <w:rsid w:val="00384B03"/>
    <w:rsid w:val="00384E95"/>
    <w:rsid w:val="0038509A"/>
    <w:rsid w:val="00385798"/>
    <w:rsid w:val="00385FFC"/>
    <w:rsid w:val="00386441"/>
    <w:rsid w:val="003869A8"/>
    <w:rsid w:val="00386A6E"/>
    <w:rsid w:val="00386B50"/>
    <w:rsid w:val="00386F05"/>
    <w:rsid w:val="00387557"/>
    <w:rsid w:val="00387665"/>
    <w:rsid w:val="00387755"/>
    <w:rsid w:val="00387D69"/>
    <w:rsid w:val="00387EE2"/>
    <w:rsid w:val="0039021C"/>
    <w:rsid w:val="003904F5"/>
    <w:rsid w:val="00390C28"/>
    <w:rsid w:val="00391605"/>
    <w:rsid w:val="00391791"/>
    <w:rsid w:val="00391B22"/>
    <w:rsid w:val="00391D3C"/>
    <w:rsid w:val="003925E0"/>
    <w:rsid w:val="00392890"/>
    <w:rsid w:val="00392AA3"/>
    <w:rsid w:val="00392E3E"/>
    <w:rsid w:val="00393257"/>
    <w:rsid w:val="0039338A"/>
    <w:rsid w:val="00393496"/>
    <w:rsid w:val="003936F8"/>
    <w:rsid w:val="0039371E"/>
    <w:rsid w:val="0039381C"/>
    <w:rsid w:val="00393977"/>
    <w:rsid w:val="00393A38"/>
    <w:rsid w:val="00393A71"/>
    <w:rsid w:val="00393AB5"/>
    <w:rsid w:val="003941F1"/>
    <w:rsid w:val="003944FD"/>
    <w:rsid w:val="003955FA"/>
    <w:rsid w:val="00395C73"/>
    <w:rsid w:val="00395E11"/>
    <w:rsid w:val="003967EF"/>
    <w:rsid w:val="00396851"/>
    <w:rsid w:val="00396B1F"/>
    <w:rsid w:val="00396C9F"/>
    <w:rsid w:val="00396F17"/>
    <w:rsid w:val="00396FCF"/>
    <w:rsid w:val="00397535"/>
    <w:rsid w:val="00397873"/>
    <w:rsid w:val="00397A45"/>
    <w:rsid w:val="00397FBF"/>
    <w:rsid w:val="00397FFC"/>
    <w:rsid w:val="003A001A"/>
    <w:rsid w:val="003A01B7"/>
    <w:rsid w:val="003A0325"/>
    <w:rsid w:val="003A0BAA"/>
    <w:rsid w:val="003A0C66"/>
    <w:rsid w:val="003A0E92"/>
    <w:rsid w:val="003A10B2"/>
    <w:rsid w:val="003A1271"/>
    <w:rsid w:val="003A166B"/>
    <w:rsid w:val="003A227C"/>
    <w:rsid w:val="003A274F"/>
    <w:rsid w:val="003A2AC5"/>
    <w:rsid w:val="003A2E35"/>
    <w:rsid w:val="003A2F07"/>
    <w:rsid w:val="003A30D9"/>
    <w:rsid w:val="003A31E0"/>
    <w:rsid w:val="003A321D"/>
    <w:rsid w:val="003A33F8"/>
    <w:rsid w:val="003A3426"/>
    <w:rsid w:val="003A410B"/>
    <w:rsid w:val="003A4178"/>
    <w:rsid w:val="003A4970"/>
    <w:rsid w:val="003A4A1D"/>
    <w:rsid w:val="003A52D2"/>
    <w:rsid w:val="003A5589"/>
    <w:rsid w:val="003A5C26"/>
    <w:rsid w:val="003A6613"/>
    <w:rsid w:val="003A6E60"/>
    <w:rsid w:val="003A77FE"/>
    <w:rsid w:val="003A77FF"/>
    <w:rsid w:val="003A7A33"/>
    <w:rsid w:val="003A7E6E"/>
    <w:rsid w:val="003B0222"/>
    <w:rsid w:val="003B038A"/>
    <w:rsid w:val="003B0672"/>
    <w:rsid w:val="003B08D6"/>
    <w:rsid w:val="003B0931"/>
    <w:rsid w:val="003B0955"/>
    <w:rsid w:val="003B1019"/>
    <w:rsid w:val="003B178F"/>
    <w:rsid w:val="003B1EF7"/>
    <w:rsid w:val="003B21FC"/>
    <w:rsid w:val="003B2991"/>
    <w:rsid w:val="003B3026"/>
    <w:rsid w:val="003B329B"/>
    <w:rsid w:val="003B36DC"/>
    <w:rsid w:val="003B3A65"/>
    <w:rsid w:val="003B3A69"/>
    <w:rsid w:val="003B3BD2"/>
    <w:rsid w:val="003B3C86"/>
    <w:rsid w:val="003B3E36"/>
    <w:rsid w:val="003B44C3"/>
    <w:rsid w:val="003B476F"/>
    <w:rsid w:val="003B55B8"/>
    <w:rsid w:val="003B5727"/>
    <w:rsid w:val="003B5BF8"/>
    <w:rsid w:val="003B61D3"/>
    <w:rsid w:val="003B639F"/>
    <w:rsid w:val="003B642E"/>
    <w:rsid w:val="003B665C"/>
    <w:rsid w:val="003B6FF7"/>
    <w:rsid w:val="003B7030"/>
    <w:rsid w:val="003B715A"/>
    <w:rsid w:val="003B7372"/>
    <w:rsid w:val="003B7397"/>
    <w:rsid w:val="003B73E3"/>
    <w:rsid w:val="003B743C"/>
    <w:rsid w:val="003B78FE"/>
    <w:rsid w:val="003B7BF6"/>
    <w:rsid w:val="003C03A2"/>
    <w:rsid w:val="003C0889"/>
    <w:rsid w:val="003C090E"/>
    <w:rsid w:val="003C0CEF"/>
    <w:rsid w:val="003C1A13"/>
    <w:rsid w:val="003C1A90"/>
    <w:rsid w:val="003C1B9E"/>
    <w:rsid w:val="003C1C96"/>
    <w:rsid w:val="003C1DF7"/>
    <w:rsid w:val="003C22A8"/>
    <w:rsid w:val="003C25DC"/>
    <w:rsid w:val="003C263F"/>
    <w:rsid w:val="003C26C1"/>
    <w:rsid w:val="003C2D68"/>
    <w:rsid w:val="003C3BF6"/>
    <w:rsid w:val="003C3CE3"/>
    <w:rsid w:val="003C4063"/>
    <w:rsid w:val="003C4183"/>
    <w:rsid w:val="003C42D2"/>
    <w:rsid w:val="003C43CF"/>
    <w:rsid w:val="003C44D4"/>
    <w:rsid w:val="003C4709"/>
    <w:rsid w:val="003C4E38"/>
    <w:rsid w:val="003C50A2"/>
    <w:rsid w:val="003C552C"/>
    <w:rsid w:val="003C5971"/>
    <w:rsid w:val="003C5CD2"/>
    <w:rsid w:val="003C6855"/>
    <w:rsid w:val="003C6E28"/>
    <w:rsid w:val="003C6EC7"/>
    <w:rsid w:val="003C72D7"/>
    <w:rsid w:val="003C775D"/>
    <w:rsid w:val="003C780E"/>
    <w:rsid w:val="003C788F"/>
    <w:rsid w:val="003C7CA2"/>
    <w:rsid w:val="003C7E95"/>
    <w:rsid w:val="003C7ED6"/>
    <w:rsid w:val="003D00E9"/>
    <w:rsid w:val="003D081B"/>
    <w:rsid w:val="003D0C3F"/>
    <w:rsid w:val="003D11E4"/>
    <w:rsid w:val="003D13D3"/>
    <w:rsid w:val="003D15ED"/>
    <w:rsid w:val="003D1CDF"/>
    <w:rsid w:val="003D1D08"/>
    <w:rsid w:val="003D1F3C"/>
    <w:rsid w:val="003D2097"/>
    <w:rsid w:val="003D2639"/>
    <w:rsid w:val="003D2739"/>
    <w:rsid w:val="003D27F8"/>
    <w:rsid w:val="003D3D92"/>
    <w:rsid w:val="003D4057"/>
    <w:rsid w:val="003D40E5"/>
    <w:rsid w:val="003D446A"/>
    <w:rsid w:val="003D4490"/>
    <w:rsid w:val="003D49D1"/>
    <w:rsid w:val="003D4E23"/>
    <w:rsid w:val="003D57E9"/>
    <w:rsid w:val="003D5B0A"/>
    <w:rsid w:val="003D6258"/>
    <w:rsid w:val="003D6274"/>
    <w:rsid w:val="003D6634"/>
    <w:rsid w:val="003D68A0"/>
    <w:rsid w:val="003D73B3"/>
    <w:rsid w:val="003D769D"/>
    <w:rsid w:val="003D7A35"/>
    <w:rsid w:val="003D7BEB"/>
    <w:rsid w:val="003D7CEE"/>
    <w:rsid w:val="003D7E06"/>
    <w:rsid w:val="003D7E4C"/>
    <w:rsid w:val="003E044C"/>
    <w:rsid w:val="003E05F2"/>
    <w:rsid w:val="003E06BA"/>
    <w:rsid w:val="003E075A"/>
    <w:rsid w:val="003E081A"/>
    <w:rsid w:val="003E09DF"/>
    <w:rsid w:val="003E0B68"/>
    <w:rsid w:val="003E0B7E"/>
    <w:rsid w:val="003E0F08"/>
    <w:rsid w:val="003E240D"/>
    <w:rsid w:val="003E2ACD"/>
    <w:rsid w:val="003E2AED"/>
    <w:rsid w:val="003E2CA3"/>
    <w:rsid w:val="003E3681"/>
    <w:rsid w:val="003E38FC"/>
    <w:rsid w:val="003E4601"/>
    <w:rsid w:val="003E4B04"/>
    <w:rsid w:val="003E4B27"/>
    <w:rsid w:val="003E4BEE"/>
    <w:rsid w:val="003E4CF0"/>
    <w:rsid w:val="003E53F2"/>
    <w:rsid w:val="003E5981"/>
    <w:rsid w:val="003E59B5"/>
    <w:rsid w:val="003E5CA7"/>
    <w:rsid w:val="003E5F0C"/>
    <w:rsid w:val="003E6AFC"/>
    <w:rsid w:val="003E6E49"/>
    <w:rsid w:val="003E7749"/>
    <w:rsid w:val="003F018F"/>
    <w:rsid w:val="003F06F3"/>
    <w:rsid w:val="003F07DF"/>
    <w:rsid w:val="003F0912"/>
    <w:rsid w:val="003F0963"/>
    <w:rsid w:val="003F0E53"/>
    <w:rsid w:val="003F1263"/>
    <w:rsid w:val="003F12A1"/>
    <w:rsid w:val="003F12B4"/>
    <w:rsid w:val="003F1BE6"/>
    <w:rsid w:val="003F1FD2"/>
    <w:rsid w:val="003F2149"/>
    <w:rsid w:val="003F230E"/>
    <w:rsid w:val="003F2B74"/>
    <w:rsid w:val="003F3323"/>
    <w:rsid w:val="003F3AF7"/>
    <w:rsid w:val="003F3C17"/>
    <w:rsid w:val="003F4850"/>
    <w:rsid w:val="003F48DA"/>
    <w:rsid w:val="003F4A31"/>
    <w:rsid w:val="003F5571"/>
    <w:rsid w:val="003F5DC3"/>
    <w:rsid w:val="003F6202"/>
    <w:rsid w:val="003F67CC"/>
    <w:rsid w:val="003F69F2"/>
    <w:rsid w:val="003F6C6C"/>
    <w:rsid w:val="003F7359"/>
    <w:rsid w:val="003F799C"/>
    <w:rsid w:val="003F7ACA"/>
    <w:rsid w:val="003F7EA6"/>
    <w:rsid w:val="003F7F23"/>
    <w:rsid w:val="004004D2"/>
    <w:rsid w:val="004008E3"/>
    <w:rsid w:val="00400D2A"/>
    <w:rsid w:val="00401083"/>
    <w:rsid w:val="00401527"/>
    <w:rsid w:val="0040218D"/>
    <w:rsid w:val="004025A2"/>
    <w:rsid w:val="00402774"/>
    <w:rsid w:val="004029F1"/>
    <w:rsid w:val="00402F23"/>
    <w:rsid w:val="00402F55"/>
    <w:rsid w:val="00403332"/>
    <w:rsid w:val="004034E9"/>
    <w:rsid w:val="00403527"/>
    <w:rsid w:val="00403662"/>
    <w:rsid w:val="004045CB"/>
    <w:rsid w:val="004045CD"/>
    <w:rsid w:val="004045E4"/>
    <w:rsid w:val="00404711"/>
    <w:rsid w:val="0040492B"/>
    <w:rsid w:val="004049D7"/>
    <w:rsid w:val="00404AEA"/>
    <w:rsid w:val="00404E02"/>
    <w:rsid w:val="00404E24"/>
    <w:rsid w:val="00405BED"/>
    <w:rsid w:val="00405D02"/>
    <w:rsid w:val="00405E5F"/>
    <w:rsid w:val="004062D0"/>
    <w:rsid w:val="0040635D"/>
    <w:rsid w:val="00406C39"/>
    <w:rsid w:val="00406F2F"/>
    <w:rsid w:val="004075EC"/>
    <w:rsid w:val="0040764B"/>
    <w:rsid w:val="004079AF"/>
    <w:rsid w:val="0041017A"/>
    <w:rsid w:val="0041092C"/>
    <w:rsid w:val="00410E01"/>
    <w:rsid w:val="0041105B"/>
    <w:rsid w:val="0041107B"/>
    <w:rsid w:val="004111E0"/>
    <w:rsid w:val="00411801"/>
    <w:rsid w:val="00411BD1"/>
    <w:rsid w:val="00411CA7"/>
    <w:rsid w:val="00412251"/>
    <w:rsid w:val="00412882"/>
    <w:rsid w:val="00412A05"/>
    <w:rsid w:val="00412BA3"/>
    <w:rsid w:val="00413042"/>
    <w:rsid w:val="0041319A"/>
    <w:rsid w:val="004132FF"/>
    <w:rsid w:val="00413766"/>
    <w:rsid w:val="0041389E"/>
    <w:rsid w:val="004140DA"/>
    <w:rsid w:val="00414A5B"/>
    <w:rsid w:val="004152F2"/>
    <w:rsid w:val="00415514"/>
    <w:rsid w:val="00415A03"/>
    <w:rsid w:val="00416406"/>
    <w:rsid w:val="00416828"/>
    <w:rsid w:val="00416D6F"/>
    <w:rsid w:val="00416E29"/>
    <w:rsid w:val="00416F4C"/>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30E3"/>
    <w:rsid w:val="00423290"/>
    <w:rsid w:val="004235EA"/>
    <w:rsid w:val="0042406C"/>
    <w:rsid w:val="004243F3"/>
    <w:rsid w:val="00424556"/>
    <w:rsid w:val="0042539B"/>
    <w:rsid w:val="004253EB"/>
    <w:rsid w:val="0042557B"/>
    <w:rsid w:val="00425588"/>
    <w:rsid w:val="00425732"/>
    <w:rsid w:val="00425DDB"/>
    <w:rsid w:val="00425E65"/>
    <w:rsid w:val="00426078"/>
    <w:rsid w:val="004261E3"/>
    <w:rsid w:val="004265FB"/>
    <w:rsid w:val="0042682D"/>
    <w:rsid w:val="00426DCE"/>
    <w:rsid w:val="004270E9"/>
    <w:rsid w:val="0042719A"/>
    <w:rsid w:val="0042722F"/>
    <w:rsid w:val="004275E8"/>
    <w:rsid w:val="0042769F"/>
    <w:rsid w:val="004276F1"/>
    <w:rsid w:val="00427F03"/>
    <w:rsid w:val="00430384"/>
    <w:rsid w:val="00430957"/>
    <w:rsid w:val="00430B1B"/>
    <w:rsid w:val="00431166"/>
    <w:rsid w:val="0043179D"/>
    <w:rsid w:val="004320A4"/>
    <w:rsid w:val="00432132"/>
    <w:rsid w:val="0043215B"/>
    <w:rsid w:val="00432D72"/>
    <w:rsid w:val="00432E24"/>
    <w:rsid w:val="00433646"/>
    <w:rsid w:val="0043391E"/>
    <w:rsid w:val="00433B79"/>
    <w:rsid w:val="0043437C"/>
    <w:rsid w:val="00434549"/>
    <w:rsid w:val="00434B87"/>
    <w:rsid w:val="00435788"/>
    <w:rsid w:val="00435B7F"/>
    <w:rsid w:val="00436104"/>
    <w:rsid w:val="00436107"/>
    <w:rsid w:val="004366E3"/>
    <w:rsid w:val="00436CE4"/>
    <w:rsid w:val="00437690"/>
    <w:rsid w:val="004377C4"/>
    <w:rsid w:val="00437BB1"/>
    <w:rsid w:val="00437BE1"/>
    <w:rsid w:val="00437C9F"/>
    <w:rsid w:val="00440452"/>
    <w:rsid w:val="00440733"/>
    <w:rsid w:val="004409B3"/>
    <w:rsid w:val="00440A66"/>
    <w:rsid w:val="00440F84"/>
    <w:rsid w:val="004410DB"/>
    <w:rsid w:val="004412A0"/>
    <w:rsid w:val="00441380"/>
    <w:rsid w:val="00443695"/>
    <w:rsid w:val="004438E6"/>
    <w:rsid w:val="00443BF5"/>
    <w:rsid w:val="00443F22"/>
    <w:rsid w:val="00444185"/>
    <w:rsid w:val="00444373"/>
    <w:rsid w:val="0044488B"/>
    <w:rsid w:val="004448BE"/>
    <w:rsid w:val="00444990"/>
    <w:rsid w:val="00444DA7"/>
    <w:rsid w:val="004450F2"/>
    <w:rsid w:val="004451BF"/>
    <w:rsid w:val="004451D1"/>
    <w:rsid w:val="00445281"/>
    <w:rsid w:val="00445901"/>
    <w:rsid w:val="00445D05"/>
    <w:rsid w:val="00445F86"/>
    <w:rsid w:val="0044645E"/>
    <w:rsid w:val="00446892"/>
    <w:rsid w:val="00446AF7"/>
    <w:rsid w:val="00446B4F"/>
    <w:rsid w:val="00446F61"/>
    <w:rsid w:val="00446F86"/>
    <w:rsid w:val="004472F0"/>
    <w:rsid w:val="00447455"/>
    <w:rsid w:val="004476AD"/>
    <w:rsid w:val="00447B65"/>
    <w:rsid w:val="00447C75"/>
    <w:rsid w:val="00447DB4"/>
    <w:rsid w:val="004500FE"/>
    <w:rsid w:val="00450441"/>
    <w:rsid w:val="00450509"/>
    <w:rsid w:val="004507CD"/>
    <w:rsid w:val="00450CB3"/>
    <w:rsid w:val="00450DC1"/>
    <w:rsid w:val="00450E4A"/>
    <w:rsid w:val="00451268"/>
    <w:rsid w:val="004517AD"/>
    <w:rsid w:val="00451C97"/>
    <w:rsid w:val="0045227C"/>
    <w:rsid w:val="004522C4"/>
    <w:rsid w:val="0045256F"/>
    <w:rsid w:val="00452813"/>
    <w:rsid w:val="00453FDA"/>
    <w:rsid w:val="0045421B"/>
    <w:rsid w:val="004544AB"/>
    <w:rsid w:val="004548BD"/>
    <w:rsid w:val="004549EA"/>
    <w:rsid w:val="00454E98"/>
    <w:rsid w:val="00454FC9"/>
    <w:rsid w:val="0045547A"/>
    <w:rsid w:val="00455508"/>
    <w:rsid w:val="0045560F"/>
    <w:rsid w:val="00455732"/>
    <w:rsid w:val="00455AE4"/>
    <w:rsid w:val="00455B5E"/>
    <w:rsid w:val="00455BF2"/>
    <w:rsid w:val="00455C5F"/>
    <w:rsid w:val="00455E6B"/>
    <w:rsid w:val="00455EB2"/>
    <w:rsid w:val="00455FD4"/>
    <w:rsid w:val="004560F0"/>
    <w:rsid w:val="00456744"/>
    <w:rsid w:val="00456CF3"/>
    <w:rsid w:val="00456D8C"/>
    <w:rsid w:val="00457563"/>
    <w:rsid w:val="00457AF4"/>
    <w:rsid w:val="00457BFC"/>
    <w:rsid w:val="004601A3"/>
    <w:rsid w:val="0046247D"/>
    <w:rsid w:val="004624C0"/>
    <w:rsid w:val="00462B8F"/>
    <w:rsid w:val="0046313C"/>
    <w:rsid w:val="00463429"/>
    <w:rsid w:val="00463DCF"/>
    <w:rsid w:val="00463E1A"/>
    <w:rsid w:val="00463F57"/>
    <w:rsid w:val="00464537"/>
    <w:rsid w:val="00464BE4"/>
    <w:rsid w:val="00464D1B"/>
    <w:rsid w:val="00464F92"/>
    <w:rsid w:val="00465CCB"/>
    <w:rsid w:val="00465DCA"/>
    <w:rsid w:val="00466129"/>
    <w:rsid w:val="004661AD"/>
    <w:rsid w:val="00466231"/>
    <w:rsid w:val="00466316"/>
    <w:rsid w:val="0046632A"/>
    <w:rsid w:val="0046647B"/>
    <w:rsid w:val="00466724"/>
    <w:rsid w:val="004667E8"/>
    <w:rsid w:val="0046687F"/>
    <w:rsid w:val="00466EB8"/>
    <w:rsid w:val="00467124"/>
    <w:rsid w:val="00467191"/>
    <w:rsid w:val="0046739A"/>
    <w:rsid w:val="00467412"/>
    <w:rsid w:val="004679CD"/>
    <w:rsid w:val="00467C77"/>
    <w:rsid w:val="00467D51"/>
    <w:rsid w:val="00470140"/>
    <w:rsid w:val="004709AB"/>
    <w:rsid w:val="00470A3A"/>
    <w:rsid w:val="00470F43"/>
    <w:rsid w:val="004715D0"/>
    <w:rsid w:val="00471F00"/>
    <w:rsid w:val="00471F49"/>
    <w:rsid w:val="00472769"/>
    <w:rsid w:val="00472AE9"/>
    <w:rsid w:val="004730ED"/>
    <w:rsid w:val="00473569"/>
    <w:rsid w:val="004735D6"/>
    <w:rsid w:val="00473606"/>
    <w:rsid w:val="00473EBB"/>
    <w:rsid w:val="0047469E"/>
    <w:rsid w:val="00474883"/>
    <w:rsid w:val="00474B6F"/>
    <w:rsid w:val="00474E67"/>
    <w:rsid w:val="00475D63"/>
    <w:rsid w:val="00475F70"/>
    <w:rsid w:val="00475F7E"/>
    <w:rsid w:val="004761DB"/>
    <w:rsid w:val="00476950"/>
    <w:rsid w:val="004771E3"/>
    <w:rsid w:val="004775FD"/>
    <w:rsid w:val="00477A96"/>
    <w:rsid w:val="00480664"/>
    <w:rsid w:val="004809FD"/>
    <w:rsid w:val="00481C4D"/>
    <w:rsid w:val="00481C88"/>
    <w:rsid w:val="00481D7B"/>
    <w:rsid w:val="0048265B"/>
    <w:rsid w:val="00482E6B"/>
    <w:rsid w:val="00483389"/>
    <w:rsid w:val="00483524"/>
    <w:rsid w:val="004837DA"/>
    <w:rsid w:val="00483A4F"/>
    <w:rsid w:val="00483C46"/>
    <w:rsid w:val="00483D56"/>
    <w:rsid w:val="00483F59"/>
    <w:rsid w:val="0048462D"/>
    <w:rsid w:val="004848B7"/>
    <w:rsid w:val="00484BFC"/>
    <w:rsid w:val="00484CAB"/>
    <w:rsid w:val="00485462"/>
    <w:rsid w:val="0048553A"/>
    <w:rsid w:val="0048562E"/>
    <w:rsid w:val="00485D99"/>
    <w:rsid w:val="0048614B"/>
    <w:rsid w:val="004862A7"/>
    <w:rsid w:val="0048668C"/>
    <w:rsid w:val="004866E1"/>
    <w:rsid w:val="00486711"/>
    <w:rsid w:val="00486734"/>
    <w:rsid w:val="00486CA2"/>
    <w:rsid w:val="00486ED6"/>
    <w:rsid w:val="0048754B"/>
    <w:rsid w:val="00487A5F"/>
    <w:rsid w:val="00487DE3"/>
    <w:rsid w:val="00490082"/>
    <w:rsid w:val="004902B1"/>
    <w:rsid w:val="004904DE"/>
    <w:rsid w:val="00490A8A"/>
    <w:rsid w:val="00490F0C"/>
    <w:rsid w:val="00490F1D"/>
    <w:rsid w:val="00491280"/>
    <w:rsid w:val="00491689"/>
    <w:rsid w:val="00491851"/>
    <w:rsid w:val="00491881"/>
    <w:rsid w:val="00491A1E"/>
    <w:rsid w:val="00491C0F"/>
    <w:rsid w:val="00491E9E"/>
    <w:rsid w:val="0049233C"/>
    <w:rsid w:val="004924CB"/>
    <w:rsid w:val="00492A7D"/>
    <w:rsid w:val="00492C99"/>
    <w:rsid w:val="00492FC7"/>
    <w:rsid w:val="00493AE1"/>
    <w:rsid w:val="004941EF"/>
    <w:rsid w:val="004944F2"/>
    <w:rsid w:val="004945FD"/>
    <w:rsid w:val="00494C6A"/>
    <w:rsid w:val="0049527E"/>
    <w:rsid w:val="0049555D"/>
    <w:rsid w:val="00495FBE"/>
    <w:rsid w:val="00496486"/>
    <w:rsid w:val="00496906"/>
    <w:rsid w:val="00496DD2"/>
    <w:rsid w:val="00497007"/>
    <w:rsid w:val="00497B24"/>
    <w:rsid w:val="00497F56"/>
    <w:rsid w:val="00497FFA"/>
    <w:rsid w:val="004A022F"/>
    <w:rsid w:val="004A03F0"/>
    <w:rsid w:val="004A111F"/>
    <w:rsid w:val="004A1360"/>
    <w:rsid w:val="004A144E"/>
    <w:rsid w:val="004A14AA"/>
    <w:rsid w:val="004A169B"/>
    <w:rsid w:val="004A243D"/>
    <w:rsid w:val="004A2DD9"/>
    <w:rsid w:val="004A2E50"/>
    <w:rsid w:val="004A3240"/>
    <w:rsid w:val="004A4044"/>
    <w:rsid w:val="004A4091"/>
    <w:rsid w:val="004A4743"/>
    <w:rsid w:val="004A489B"/>
    <w:rsid w:val="004A4AD5"/>
    <w:rsid w:val="004A4FFE"/>
    <w:rsid w:val="004A5050"/>
    <w:rsid w:val="004A5232"/>
    <w:rsid w:val="004A57A7"/>
    <w:rsid w:val="004A5C87"/>
    <w:rsid w:val="004A6193"/>
    <w:rsid w:val="004A6370"/>
    <w:rsid w:val="004A68AE"/>
    <w:rsid w:val="004A6FBF"/>
    <w:rsid w:val="004A72CD"/>
    <w:rsid w:val="004A72E5"/>
    <w:rsid w:val="004A782A"/>
    <w:rsid w:val="004A7947"/>
    <w:rsid w:val="004A7B83"/>
    <w:rsid w:val="004A7C16"/>
    <w:rsid w:val="004A7CB2"/>
    <w:rsid w:val="004A7EAB"/>
    <w:rsid w:val="004B01BD"/>
    <w:rsid w:val="004B03EC"/>
    <w:rsid w:val="004B0578"/>
    <w:rsid w:val="004B0A6E"/>
    <w:rsid w:val="004B0DA4"/>
    <w:rsid w:val="004B0E94"/>
    <w:rsid w:val="004B101F"/>
    <w:rsid w:val="004B1222"/>
    <w:rsid w:val="004B126B"/>
    <w:rsid w:val="004B12D7"/>
    <w:rsid w:val="004B13D9"/>
    <w:rsid w:val="004B1CD6"/>
    <w:rsid w:val="004B1DD5"/>
    <w:rsid w:val="004B1FF4"/>
    <w:rsid w:val="004B27A9"/>
    <w:rsid w:val="004B2AE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FB8"/>
    <w:rsid w:val="004B7FD8"/>
    <w:rsid w:val="004C03E0"/>
    <w:rsid w:val="004C0955"/>
    <w:rsid w:val="004C0AD4"/>
    <w:rsid w:val="004C0D21"/>
    <w:rsid w:val="004C10C8"/>
    <w:rsid w:val="004C12ED"/>
    <w:rsid w:val="004C15C6"/>
    <w:rsid w:val="004C1754"/>
    <w:rsid w:val="004C2051"/>
    <w:rsid w:val="004C2786"/>
    <w:rsid w:val="004C2B29"/>
    <w:rsid w:val="004C2BFB"/>
    <w:rsid w:val="004C2C4D"/>
    <w:rsid w:val="004C3783"/>
    <w:rsid w:val="004C3A9E"/>
    <w:rsid w:val="004C3AE9"/>
    <w:rsid w:val="004C3BB5"/>
    <w:rsid w:val="004C4040"/>
    <w:rsid w:val="004C4B3D"/>
    <w:rsid w:val="004C4D3C"/>
    <w:rsid w:val="004C51B6"/>
    <w:rsid w:val="004C52BD"/>
    <w:rsid w:val="004C536E"/>
    <w:rsid w:val="004C5514"/>
    <w:rsid w:val="004C57EB"/>
    <w:rsid w:val="004C6038"/>
    <w:rsid w:val="004C666A"/>
    <w:rsid w:val="004C6EF8"/>
    <w:rsid w:val="004C702F"/>
    <w:rsid w:val="004C736F"/>
    <w:rsid w:val="004C74E0"/>
    <w:rsid w:val="004C74E6"/>
    <w:rsid w:val="004D0E12"/>
    <w:rsid w:val="004D13A2"/>
    <w:rsid w:val="004D18DE"/>
    <w:rsid w:val="004D2061"/>
    <w:rsid w:val="004D2758"/>
    <w:rsid w:val="004D294C"/>
    <w:rsid w:val="004D29C4"/>
    <w:rsid w:val="004D29D6"/>
    <w:rsid w:val="004D2B8B"/>
    <w:rsid w:val="004D2F35"/>
    <w:rsid w:val="004D30DE"/>
    <w:rsid w:val="004D31FE"/>
    <w:rsid w:val="004D3366"/>
    <w:rsid w:val="004D35B1"/>
    <w:rsid w:val="004D3680"/>
    <w:rsid w:val="004D3988"/>
    <w:rsid w:val="004D39C2"/>
    <w:rsid w:val="004D39D5"/>
    <w:rsid w:val="004D3F02"/>
    <w:rsid w:val="004D4AA6"/>
    <w:rsid w:val="004D4D3F"/>
    <w:rsid w:val="004D4FBC"/>
    <w:rsid w:val="004D5476"/>
    <w:rsid w:val="004D55FD"/>
    <w:rsid w:val="004D5834"/>
    <w:rsid w:val="004D5C6A"/>
    <w:rsid w:val="004D5C91"/>
    <w:rsid w:val="004D6023"/>
    <w:rsid w:val="004D6237"/>
    <w:rsid w:val="004D64D8"/>
    <w:rsid w:val="004D6925"/>
    <w:rsid w:val="004D6D5F"/>
    <w:rsid w:val="004D72D7"/>
    <w:rsid w:val="004D72F9"/>
    <w:rsid w:val="004D7841"/>
    <w:rsid w:val="004D7ACC"/>
    <w:rsid w:val="004E00F7"/>
    <w:rsid w:val="004E07A7"/>
    <w:rsid w:val="004E07D2"/>
    <w:rsid w:val="004E0980"/>
    <w:rsid w:val="004E0FB9"/>
    <w:rsid w:val="004E11C7"/>
    <w:rsid w:val="004E15AA"/>
    <w:rsid w:val="004E1B1C"/>
    <w:rsid w:val="004E24FF"/>
    <w:rsid w:val="004E36B1"/>
    <w:rsid w:val="004E38CA"/>
    <w:rsid w:val="004E39E5"/>
    <w:rsid w:val="004E3BCA"/>
    <w:rsid w:val="004E3C1A"/>
    <w:rsid w:val="004E3EC4"/>
    <w:rsid w:val="004E3F0A"/>
    <w:rsid w:val="004E3FD6"/>
    <w:rsid w:val="004E48F2"/>
    <w:rsid w:val="004E49BC"/>
    <w:rsid w:val="004E4A52"/>
    <w:rsid w:val="004E4CEF"/>
    <w:rsid w:val="004E50B4"/>
    <w:rsid w:val="004E5433"/>
    <w:rsid w:val="004E543C"/>
    <w:rsid w:val="004E54BB"/>
    <w:rsid w:val="004E54E4"/>
    <w:rsid w:val="004E58C2"/>
    <w:rsid w:val="004E5DD6"/>
    <w:rsid w:val="004E60AB"/>
    <w:rsid w:val="004E63C4"/>
    <w:rsid w:val="004E65AE"/>
    <w:rsid w:val="004E666B"/>
    <w:rsid w:val="004E69FC"/>
    <w:rsid w:val="004E6AF3"/>
    <w:rsid w:val="004E6E32"/>
    <w:rsid w:val="004E7219"/>
    <w:rsid w:val="004E7682"/>
    <w:rsid w:val="004E7CDC"/>
    <w:rsid w:val="004E7D2E"/>
    <w:rsid w:val="004F03F8"/>
    <w:rsid w:val="004F053F"/>
    <w:rsid w:val="004F0DB3"/>
    <w:rsid w:val="004F0FAE"/>
    <w:rsid w:val="004F1B2E"/>
    <w:rsid w:val="004F2426"/>
    <w:rsid w:val="004F2A38"/>
    <w:rsid w:val="004F2AA7"/>
    <w:rsid w:val="004F3CB3"/>
    <w:rsid w:val="004F3FF4"/>
    <w:rsid w:val="004F4637"/>
    <w:rsid w:val="004F49A4"/>
    <w:rsid w:val="004F4AB3"/>
    <w:rsid w:val="004F656F"/>
    <w:rsid w:val="004F6F8D"/>
    <w:rsid w:val="004F720C"/>
    <w:rsid w:val="004F7312"/>
    <w:rsid w:val="004F7454"/>
    <w:rsid w:val="004F7768"/>
    <w:rsid w:val="004F783F"/>
    <w:rsid w:val="005002E0"/>
    <w:rsid w:val="005004D9"/>
    <w:rsid w:val="005004E7"/>
    <w:rsid w:val="00500E4C"/>
    <w:rsid w:val="005013D9"/>
    <w:rsid w:val="005017CA"/>
    <w:rsid w:val="00501BF6"/>
    <w:rsid w:val="00501E76"/>
    <w:rsid w:val="00502140"/>
    <w:rsid w:val="00502F09"/>
    <w:rsid w:val="005030D5"/>
    <w:rsid w:val="0050380D"/>
    <w:rsid w:val="00503921"/>
    <w:rsid w:val="00503DF0"/>
    <w:rsid w:val="00504566"/>
    <w:rsid w:val="005047BC"/>
    <w:rsid w:val="00504BFB"/>
    <w:rsid w:val="005054A4"/>
    <w:rsid w:val="005056F5"/>
    <w:rsid w:val="00505815"/>
    <w:rsid w:val="00505AA4"/>
    <w:rsid w:val="00505C8C"/>
    <w:rsid w:val="005065D7"/>
    <w:rsid w:val="005068EC"/>
    <w:rsid w:val="00506DB8"/>
    <w:rsid w:val="005071B6"/>
    <w:rsid w:val="005074C1"/>
    <w:rsid w:val="0050765E"/>
    <w:rsid w:val="005077EE"/>
    <w:rsid w:val="00510038"/>
    <w:rsid w:val="0051026C"/>
    <w:rsid w:val="005102C7"/>
    <w:rsid w:val="005109FE"/>
    <w:rsid w:val="00510E46"/>
    <w:rsid w:val="0051140A"/>
    <w:rsid w:val="00511582"/>
    <w:rsid w:val="00511589"/>
    <w:rsid w:val="005115AE"/>
    <w:rsid w:val="00511673"/>
    <w:rsid w:val="00511B07"/>
    <w:rsid w:val="00511B1A"/>
    <w:rsid w:val="00511F2B"/>
    <w:rsid w:val="00511FD7"/>
    <w:rsid w:val="00512A3D"/>
    <w:rsid w:val="00512C11"/>
    <w:rsid w:val="00512C3B"/>
    <w:rsid w:val="005131A4"/>
    <w:rsid w:val="005133F8"/>
    <w:rsid w:val="00513750"/>
    <w:rsid w:val="00514031"/>
    <w:rsid w:val="0051455C"/>
    <w:rsid w:val="00514D5E"/>
    <w:rsid w:val="00514F44"/>
    <w:rsid w:val="00515614"/>
    <w:rsid w:val="00515EDB"/>
    <w:rsid w:val="00516103"/>
    <w:rsid w:val="005162BC"/>
    <w:rsid w:val="00516FBB"/>
    <w:rsid w:val="005173CB"/>
    <w:rsid w:val="00517BC5"/>
    <w:rsid w:val="0052097A"/>
    <w:rsid w:val="00520A79"/>
    <w:rsid w:val="00520FE5"/>
    <w:rsid w:val="00521095"/>
    <w:rsid w:val="00521363"/>
    <w:rsid w:val="00521AEA"/>
    <w:rsid w:val="00522B90"/>
    <w:rsid w:val="00523067"/>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BB5"/>
    <w:rsid w:val="00525C59"/>
    <w:rsid w:val="00525EF0"/>
    <w:rsid w:val="005261E7"/>
    <w:rsid w:val="005263F8"/>
    <w:rsid w:val="00526B67"/>
    <w:rsid w:val="00526C4D"/>
    <w:rsid w:val="00526F6C"/>
    <w:rsid w:val="00527337"/>
    <w:rsid w:val="00527403"/>
    <w:rsid w:val="005274E4"/>
    <w:rsid w:val="00527632"/>
    <w:rsid w:val="00527CD3"/>
    <w:rsid w:val="00527D82"/>
    <w:rsid w:val="00527DD6"/>
    <w:rsid w:val="00527DE4"/>
    <w:rsid w:val="005302D2"/>
    <w:rsid w:val="005306A3"/>
    <w:rsid w:val="00530745"/>
    <w:rsid w:val="005307E7"/>
    <w:rsid w:val="0053084C"/>
    <w:rsid w:val="00530A52"/>
    <w:rsid w:val="00530B42"/>
    <w:rsid w:val="00530D72"/>
    <w:rsid w:val="00530E7B"/>
    <w:rsid w:val="005310D9"/>
    <w:rsid w:val="00531F51"/>
    <w:rsid w:val="005324FF"/>
    <w:rsid w:val="005338BA"/>
    <w:rsid w:val="00533EEC"/>
    <w:rsid w:val="005349EB"/>
    <w:rsid w:val="00535762"/>
    <w:rsid w:val="00535A6B"/>
    <w:rsid w:val="00536176"/>
    <w:rsid w:val="005362D0"/>
    <w:rsid w:val="00536C1F"/>
    <w:rsid w:val="00537AD9"/>
    <w:rsid w:val="00537DBA"/>
    <w:rsid w:val="0054001E"/>
    <w:rsid w:val="005401F9"/>
    <w:rsid w:val="005402F6"/>
    <w:rsid w:val="00540759"/>
    <w:rsid w:val="00541103"/>
    <w:rsid w:val="0054173C"/>
    <w:rsid w:val="00542013"/>
    <w:rsid w:val="00542091"/>
    <w:rsid w:val="00542A4E"/>
    <w:rsid w:val="00542FFC"/>
    <w:rsid w:val="005437B9"/>
    <w:rsid w:val="00543C3A"/>
    <w:rsid w:val="005441B0"/>
    <w:rsid w:val="00544322"/>
    <w:rsid w:val="0054435C"/>
    <w:rsid w:val="0054447B"/>
    <w:rsid w:val="005446ED"/>
    <w:rsid w:val="00544C1A"/>
    <w:rsid w:val="00544CDC"/>
    <w:rsid w:val="005450CF"/>
    <w:rsid w:val="00545491"/>
    <w:rsid w:val="005455F9"/>
    <w:rsid w:val="005456A3"/>
    <w:rsid w:val="005456CC"/>
    <w:rsid w:val="00545A0D"/>
    <w:rsid w:val="00545EC1"/>
    <w:rsid w:val="00546368"/>
    <w:rsid w:val="005468BA"/>
    <w:rsid w:val="005469DC"/>
    <w:rsid w:val="00546DA1"/>
    <w:rsid w:val="00546ED2"/>
    <w:rsid w:val="00547024"/>
    <w:rsid w:val="005472B7"/>
    <w:rsid w:val="005477F1"/>
    <w:rsid w:val="00547863"/>
    <w:rsid w:val="00550046"/>
    <w:rsid w:val="00550C4E"/>
    <w:rsid w:val="00551037"/>
    <w:rsid w:val="005516B7"/>
    <w:rsid w:val="0055210B"/>
    <w:rsid w:val="005522A2"/>
    <w:rsid w:val="0055255B"/>
    <w:rsid w:val="005526C7"/>
    <w:rsid w:val="00552A44"/>
    <w:rsid w:val="00552E4C"/>
    <w:rsid w:val="00553094"/>
    <w:rsid w:val="005531D1"/>
    <w:rsid w:val="00553497"/>
    <w:rsid w:val="005534B3"/>
    <w:rsid w:val="00553765"/>
    <w:rsid w:val="00553FF2"/>
    <w:rsid w:val="005550EB"/>
    <w:rsid w:val="005554BD"/>
    <w:rsid w:val="005559D5"/>
    <w:rsid w:val="00555BAE"/>
    <w:rsid w:val="00555CC4"/>
    <w:rsid w:val="00555F21"/>
    <w:rsid w:val="0055604D"/>
    <w:rsid w:val="0055766F"/>
    <w:rsid w:val="00557C26"/>
    <w:rsid w:val="00560268"/>
    <w:rsid w:val="005603C6"/>
    <w:rsid w:val="0056043F"/>
    <w:rsid w:val="0056075C"/>
    <w:rsid w:val="005609C4"/>
    <w:rsid w:val="00560AF3"/>
    <w:rsid w:val="00561001"/>
    <w:rsid w:val="005613A0"/>
    <w:rsid w:val="00561737"/>
    <w:rsid w:val="00561C7E"/>
    <w:rsid w:val="00562969"/>
    <w:rsid w:val="00563135"/>
    <w:rsid w:val="0056337F"/>
    <w:rsid w:val="00564352"/>
    <w:rsid w:val="00564A4B"/>
    <w:rsid w:val="00564BD6"/>
    <w:rsid w:val="00564C34"/>
    <w:rsid w:val="00565024"/>
    <w:rsid w:val="005650CA"/>
    <w:rsid w:val="0056525E"/>
    <w:rsid w:val="005652BE"/>
    <w:rsid w:val="0056588C"/>
    <w:rsid w:val="00565DC9"/>
    <w:rsid w:val="005660ED"/>
    <w:rsid w:val="00566285"/>
    <w:rsid w:val="00566529"/>
    <w:rsid w:val="00566858"/>
    <w:rsid w:val="00566A2F"/>
    <w:rsid w:val="00566BF6"/>
    <w:rsid w:val="00566CF2"/>
    <w:rsid w:val="00567005"/>
    <w:rsid w:val="00567A61"/>
    <w:rsid w:val="00567E5C"/>
    <w:rsid w:val="00570294"/>
    <w:rsid w:val="00570A2E"/>
    <w:rsid w:val="00570D71"/>
    <w:rsid w:val="005710A6"/>
    <w:rsid w:val="005712D3"/>
    <w:rsid w:val="005715CF"/>
    <w:rsid w:val="00571B69"/>
    <w:rsid w:val="00571F14"/>
    <w:rsid w:val="005722DF"/>
    <w:rsid w:val="00572CCF"/>
    <w:rsid w:val="00572CED"/>
    <w:rsid w:val="00572CF4"/>
    <w:rsid w:val="00573118"/>
    <w:rsid w:val="00573287"/>
    <w:rsid w:val="005733FE"/>
    <w:rsid w:val="00573B47"/>
    <w:rsid w:val="0057404C"/>
    <w:rsid w:val="005744F6"/>
    <w:rsid w:val="00574FCF"/>
    <w:rsid w:val="00575454"/>
    <w:rsid w:val="005755EF"/>
    <w:rsid w:val="00575889"/>
    <w:rsid w:val="00575A19"/>
    <w:rsid w:val="00575CD7"/>
    <w:rsid w:val="00576299"/>
    <w:rsid w:val="005766F7"/>
    <w:rsid w:val="00576878"/>
    <w:rsid w:val="00576DF1"/>
    <w:rsid w:val="0057797B"/>
    <w:rsid w:val="00577A67"/>
    <w:rsid w:val="00577BA6"/>
    <w:rsid w:val="00580A09"/>
    <w:rsid w:val="00580ECD"/>
    <w:rsid w:val="005816B9"/>
    <w:rsid w:val="00581AB6"/>
    <w:rsid w:val="00581E96"/>
    <w:rsid w:val="00581FB3"/>
    <w:rsid w:val="00582563"/>
    <w:rsid w:val="00582BF3"/>
    <w:rsid w:val="00582F40"/>
    <w:rsid w:val="005836CA"/>
    <w:rsid w:val="00583870"/>
    <w:rsid w:val="005839B5"/>
    <w:rsid w:val="00583C9B"/>
    <w:rsid w:val="00583D84"/>
    <w:rsid w:val="00584690"/>
    <w:rsid w:val="005848B3"/>
    <w:rsid w:val="00584B7A"/>
    <w:rsid w:val="00584DA8"/>
    <w:rsid w:val="0058501F"/>
    <w:rsid w:val="00585134"/>
    <w:rsid w:val="00585D44"/>
    <w:rsid w:val="00585E2D"/>
    <w:rsid w:val="005862FC"/>
    <w:rsid w:val="00586E33"/>
    <w:rsid w:val="00587331"/>
    <w:rsid w:val="005879DC"/>
    <w:rsid w:val="005902C6"/>
    <w:rsid w:val="00590382"/>
    <w:rsid w:val="005907A2"/>
    <w:rsid w:val="005916AC"/>
    <w:rsid w:val="00591B1D"/>
    <w:rsid w:val="00591C8D"/>
    <w:rsid w:val="00591E68"/>
    <w:rsid w:val="005920AD"/>
    <w:rsid w:val="00592E1E"/>
    <w:rsid w:val="00592F39"/>
    <w:rsid w:val="005930E3"/>
    <w:rsid w:val="00593F6B"/>
    <w:rsid w:val="0059400F"/>
    <w:rsid w:val="0059420A"/>
    <w:rsid w:val="0059443E"/>
    <w:rsid w:val="00594A88"/>
    <w:rsid w:val="00594B7B"/>
    <w:rsid w:val="00594BCD"/>
    <w:rsid w:val="00594BEF"/>
    <w:rsid w:val="00595240"/>
    <w:rsid w:val="0059532D"/>
    <w:rsid w:val="005959C6"/>
    <w:rsid w:val="00595E45"/>
    <w:rsid w:val="0059640C"/>
    <w:rsid w:val="00596B35"/>
    <w:rsid w:val="00596C30"/>
    <w:rsid w:val="00597285"/>
    <w:rsid w:val="00597347"/>
    <w:rsid w:val="00597A9B"/>
    <w:rsid w:val="00597AAF"/>
    <w:rsid w:val="00597E4D"/>
    <w:rsid w:val="005A01F2"/>
    <w:rsid w:val="005A048E"/>
    <w:rsid w:val="005A0691"/>
    <w:rsid w:val="005A0807"/>
    <w:rsid w:val="005A0D10"/>
    <w:rsid w:val="005A0E5D"/>
    <w:rsid w:val="005A0E7B"/>
    <w:rsid w:val="005A1028"/>
    <w:rsid w:val="005A10F2"/>
    <w:rsid w:val="005A1165"/>
    <w:rsid w:val="005A14E2"/>
    <w:rsid w:val="005A15F1"/>
    <w:rsid w:val="005A1699"/>
    <w:rsid w:val="005A1786"/>
    <w:rsid w:val="005A1884"/>
    <w:rsid w:val="005A1AE7"/>
    <w:rsid w:val="005A1BA0"/>
    <w:rsid w:val="005A1DFD"/>
    <w:rsid w:val="005A2983"/>
    <w:rsid w:val="005A29FB"/>
    <w:rsid w:val="005A2A96"/>
    <w:rsid w:val="005A2D73"/>
    <w:rsid w:val="005A363D"/>
    <w:rsid w:val="005A40AA"/>
    <w:rsid w:val="005A4664"/>
    <w:rsid w:val="005A47EB"/>
    <w:rsid w:val="005A4C4E"/>
    <w:rsid w:val="005A5040"/>
    <w:rsid w:val="005A513D"/>
    <w:rsid w:val="005A5204"/>
    <w:rsid w:val="005A57BC"/>
    <w:rsid w:val="005A5BA5"/>
    <w:rsid w:val="005A5E5B"/>
    <w:rsid w:val="005A5E63"/>
    <w:rsid w:val="005A5F5E"/>
    <w:rsid w:val="005A5FD4"/>
    <w:rsid w:val="005A6AEE"/>
    <w:rsid w:val="005A7292"/>
    <w:rsid w:val="005A7478"/>
    <w:rsid w:val="005A790B"/>
    <w:rsid w:val="005A7D5B"/>
    <w:rsid w:val="005B07F5"/>
    <w:rsid w:val="005B0C7B"/>
    <w:rsid w:val="005B0D26"/>
    <w:rsid w:val="005B1306"/>
    <w:rsid w:val="005B15E6"/>
    <w:rsid w:val="005B17A8"/>
    <w:rsid w:val="005B1AFA"/>
    <w:rsid w:val="005B1CC5"/>
    <w:rsid w:val="005B216F"/>
    <w:rsid w:val="005B2634"/>
    <w:rsid w:val="005B29C8"/>
    <w:rsid w:val="005B2A0B"/>
    <w:rsid w:val="005B31CB"/>
    <w:rsid w:val="005B39E5"/>
    <w:rsid w:val="005B39EA"/>
    <w:rsid w:val="005B3ED7"/>
    <w:rsid w:val="005B4316"/>
    <w:rsid w:val="005B4635"/>
    <w:rsid w:val="005B46BE"/>
    <w:rsid w:val="005B4832"/>
    <w:rsid w:val="005B4A10"/>
    <w:rsid w:val="005B4A60"/>
    <w:rsid w:val="005B4A84"/>
    <w:rsid w:val="005B4E11"/>
    <w:rsid w:val="005B5393"/>
    <w:rsid w:val="005B5650"/>
    <w:rsid w:val="005B59FB"/>
    <w:rsid w:val="005B5AA3"/>
    <w:rsid w:val="005B5C68"/>
    <w:rsid w:val="005B6639"/>
    <w:rsid w:val="005B6E9F"/>
    <w:rsid w:val="005B72B2"/>
    <w:rsid w:val="005B7367"/>
    <w:rsid w:val="005B756D"/>
    <w:rsid w:val="005B7678"/>
    <w:rsid w:val="005B78D6"/>
    <w:rsid w:val="005B7DCC"/>
    <w:rsid w:val="005B7FBA"/>
    <w:rsid w:val="005C0493"/>
    <w:rsid w:val="005C05AE"/>
    <w:rsid w:val="005C0F5A"/>
    <w:rsid w:val="005C1268"/>
    <w:rsid w:val="005C1427"/>
    <w:rsid w:val="005C1567"/>
    <w:rsid w:val="005C166D"/>
    <w:rsid w:val="005C182F"/>
    <w:rsid w:val="005C1D0E"/>
    <w:rsid w:val="005C1E75"/>
    <w:rsid w:val="005C2A11"/>
    <w:rsid w:val="005C3055"/>
    <w:rsid w:val="005C30E9"/>
    <w:rsid w:val="005C372E"/>
    <w:rsid w:val="005C3842"/>
    <w:rsid w:val="005C3B8C"/>
    <w:rsid w:val="005C3E34"/>
    <w:rsid w:val="005C4259"/>
    <w:rsid w:val="005C43BB"/>
    <w:rsid w:val="005C4E06"/>
    <w:rsid w:val="005C533A"/>
    <w:rsid w:val="005C5395"/>
    <w:rsid w:val="005C539D"/>
    <w:rsid w:val="005C5684"/>
    <w:rsid w:val="005C5C16"/>
    <w:rsid w:val="005C5CE1"/>
    <w:rsid w:val="005C5F39"/>
    <w:rsid w:val="005C62FF"/>
    <w:rsid w:val="005C641B"/>
    <w:rsid w:val="005C65BA"/>
    <w:rsid w:val="005C69DF"/>
    <w:rsid w:val="005C6A8A"/>
    <w:rsid w:val="005C6CF9"/>
    <w:rsid w:val="005C718E"/>
    <w:rsid w:val="005C7B7C"/>
    <w:rsid w:val="005C7C4F"/>
    <w:rsid w:val="005C7CA4"/>
    <w:rsid w:val="005D0A64"/>
    <w:rsid w:val="005D0B0A"/>
    <w:rsid w:val="005D0BE6"/>
    <w:rsid w:val="005D1198"/>
    <w:rsid w:val="005D12FC"/>
    <w:rsid w:val="005D1876"/>
    <w:rsid w:val="005D18C7"/>
    <w:rsid w:val="005D19C9"/>
    <w:rsid w:val="005D237D"/>
    <w:rsid w:val="005D308D"/>
    <w:rsid w:val="005D35BE"/>
    <w:rsid w:val="005D40DC"/>
    <w:rsid w:val="005D46D3"/>
    <w:rsid w:val="005D5154"/>
    <w:rsid w:val="005D5353"/>
    <w:rsid w:val="005D5477"/>
    <w:rsid w:val="005D5BAC"/>
    <w:rsid w:val="005D5C72"/>
    <w:rsid w:val="005D5DBD"/>
    <w:rsid w:val="005D5E98"/>
    <w:rsid w:val="005D5F0B"/>
    <w:rsid w:val="005D633E"/>
    <w:rsid w:val="005D6BE2"/>
    <w:rsid w:val="005D6D1C"/>
    <w:rsid w:val="005D6DDA"/>
    <w:rsid w:val="005D72A7"/>
    <w:rsid w:val="005D7729"/>
    <w:rsid w:val="005D790E"/>
    <w:rsid w:val="005D7C22"/>
    <w:rsid w:val="005E03E1"/>
    <w:rsid w:val="005E05E5"/>
    <w:rsid w:val="005E065C"/>
    <w:rsid w:val="005E0A23"/>
    <w:rsid w:val="005E0C53"/>
    <w:rsid w:val="005E118B"/>
    <w:rsid w:val="005E1721"/>
    <w:rsid w:val="005E1A9C"/>
    <w:rsid w:val="005E1FD9"/>
    <w:rsid w:val="005E2060"/>
    <w:rsid w:val="005E245A"/>
    <w:rsid w:val="005E25D0"/>
    <w:rsid w:val="005E2631"/>
    <w:rsid w:val="005E2815"/>
    <w:rsid w:val="005E2D40"/>
    <w:rsid w:val="005E2F81"/>
    <w:rsid w:val="005E3D13"/>
    <w:rsid w:val="005E3DA9"/>
    <w:rsid w:val="005E3E0D"/>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27E"/>
    <w:rsid w:val="005F2BBD"/>
    <w:rsid w:val="005F3248"/>
    <w:rsid w:val="005F34F3"/>
    <w:rsid w:val="005F35D9"/>
    <w:rsid w:val="005F4211"/>
    <w:rsid w:val="005F4382"/>
    <w:rsid w:val="005F46E7"/>
    <w:rsid w:val="005F4775"/>
    <w:rsid w:val="005F4ED7"/>
    <w:rsid w:val="005F512C"/>
    <w:rsid w:val="005F5152"/>
    <w:rsid w:val="005F5A56"/>
    <w:rsid w:val="005F6014"/>
    <w:rsid w:val="005F60DE"/>
    <w:rsid w:val="005F665C"/>
    <w:rsid w:val="005F6D95"/>
    <w:rsid w:val="005F70BD"/>
    <w:rsid w:val="005F738C"/>
    <w:rsid w:val="005F773F"/>
    <w:rsid w:val="005F7850"/>
    <w:rsid w:val="005F7A86"/>
    <w:rsid w:val="00600B7C"/>
    <w:rsid w:val="00600FAB"/>
    <w:rsid w:val="00601370"/>
    <w:rsid w:val="0060146C"/>
    <w:rsid w:val="00601524"/>
    <w:rsid w:val="00601701"/>
    <w:rsid w:val="00601B9A"/>
    <w:rsid w:val="006020C5"/>
    <w:rsid w:val="006024A6"/>
    <w:rsid w:val="006026B1"/>
    <w:rsid w:val="00603097"/>
    <w:rsid w:val="00603158"/>
    <w:rsid w:val="00603342"/>
    <w:rsid w:val="006042A2"/>
    <w:rsid w:val="00604515"/>
    <w:rsid w:val="00604A86"/>
    <w:rsid w:val="00604A88"/>
    <w:rsid w:val="00604BC2"/>
    <w:rsid w:val="00604ED1"/>
    <w:rsid w:val="006052FE"/>
    <w:rsid w:val="006054DF"/>
    <w:rsid w:val="00605715"/>
    <w:rsid w:val="00605A14"/>
    <w:rsid w:val="0060614A"/>
    <w:rsid w:val="006065FA"/>
    <w:rsid w:val="00606AEA"/>
    <w:rsid w:val="00606AF9"/>
    <w:rsid w:val="00606D99"/>
    <w:rsid w:val="006070D1"/>
    <w:rsid w:val="006077D9"/>
    <w:rsid w:val="006103F2"/>
    <w:rsid w:val="006105D3"/>
    <w:rsid w:val="0061063D"/>
    <w:rsid w:val="00610646"/>
    <w:rsid w:val="00610CE8"/>
    <w:rsid w:val="00610DA4"/>
    <w:rsid w:val="00611099"/>
    <w:rsid w:val="00611BBE"/>
    <w:rsid w:val="00611EA9"/>
    <w:rsid w:val="0061242A"/>
    <w:rsid w:val="006124EF"/>
    <w:rsid w:val="00612788"/>
    <w:rsid w:val="0061331C"/>
    <w:rsid w:val="00613DDE"/>
    <w:rsid w:val="00614029"/>
    <w:rsid w:val="00614115"/>
    <w:rsid w:val="0061414B"/>
    <w:rsid w:val="0061427C"/>
    <w:rsid w:val="00614306"/>
    <w:rsid w:val="0061451E"/>
    <w:rsid w:val="006148DB"/>
    <w:rsid w:val="0061565F"/>
    <w:rsid w:val="006157E3"/>
    <w:rsid w:val="0061590B"/>
    <w:rsid w:val="00615A65"/>
    <w:rsid w:val="0061606D"/>
    <w:rsid w:val="00616A88"/>
    <w:rsid w:val="00616E41"/>
    <w:rsid w:val="0061715D"/>
    <w:rsid w:val="00617330"/>
    <w:rsid w:val="00617B26"/>
    <w:rsid w:val="00617F64"/>
    <w:rsid w:val="0062056B"/>
    <w:rsid w:val="00620623"/>
    <w:rsid w:val="0062146F"/>
    <w:rsid w:val="00621AAE"/>
    <w:rsid w:val="00621CF5"/>
    <w:rsid w:val="00621E4F"/>
    <w:rsid w:val="00622355"/>
    <w:rsid w:val="0062243B"/>
    <w:rsid w:val="0062271A"/>
    <w:rsid w:val="006229A1"/>
    <w:rsid w:val="006232CA"/>
    <w:rsid w:val="00623536"/>
    <w:rsid w:val="00623FD1"/>
    <w:rsid w:val="00623FD3"/>
    <w:rsid w:val="00623FEB"/>
    <w:rsid w:val="00624223"/>
    <w:rsid w:val="00624674"/>
    <w:rsid w:val="00624A5B"/>
    <w:rsid w:val="00624B08"/>
    <w:rsid w:val="00624E98"/>
    <w:rsid w:val="00625556"/>
    <w:rsid w:val="00625AF4"/>
    <w:rsid w:val="00625C99"/>
    <w:rsid w:val="0062636F"/>
    <w:rsid w:val="00626D61"/>
    <w:rsid w:val="0062710A"/>
    <w:rsid w:val="006276D0"/>
    <w:rsid w:val="00627773"/>
    <w:rsid w:val="006279DE"/>
    <w:rsid w:val="00627F96"/>
    <w:rsid w:val="006301C7"/>
    <w:rsid w:val="006303BF"/>
    <w:rsid w:val="00630519"/>
    <w:rsid w:val="0063121A"/>
    <w:rsid w:val="00631414"/>
    <w:rsid w:val="006315E7"/>
    <w:rsid w:val="0063230A"/>
    <w:rsid w:val="0063241C"/>
    <w:rsid w:val="00632591"/>
    <w:rsid w:val="0063266C"/>
    <w:rsid w:val="0063282F"/>
    <w:rsid w:val="00632CA7"/>
    <w:rsid w:val="00633004"/>
    <w:rsid w:val="0063307C"/>
    <w:rsid w:val="006331DF"/>
    <w:rsid w:val="0063321D"/>
    <w:rsid w:val="006332EE"/>
    <w:rsid w:val="0063343E"/>
    <w:rsid w:val="0063449E"/>
    <w:rsid w:val="00634562"/>
    <w:rsid w:val="006346F8"/>
    <w:rsid w:val="00634CB6"/>
    <w:rsid w:val="00634DBC"/>
    <w:rsid w:val="0063519A"/>
    <w:rsid w:val="006357AD"/>
    <w:rsid w:val="00635AD3"/>
    <w:rsid w:val="00635AEC"/>
    <w:rsid w:val="0063695A"/>
    <w:rsid w:val="00636A8E"/>
    <w:rsid w:val="00636ACC"/>
    <w:rsid w:val="00636B7A"/>
    <w:rsid w:val="006379EF"/>
    <w:rsid w:val="00640262"/>
    <w:rsid w:val="00640703"/>
    <w:rsid w:val="0064100B"/>
    <w:rsid w:val="00641036"/>
    <w:rsid w:val="00641092"/>
    <w:rsid w:val="006410D4"/>
    <w:rsid w:val="00641101"/>
    <w:rsid w:val="00641359"/>
    <w:rsid w:val="00641365"/>
    <w:rsid w:val="00641370"/>
    <w:rsid w:val="0064157F"/>
    <w:rsid w:val="006417E1"/>
    <w:rsid w:val="00642172"/>
    <w:rsid w:val="00642400"/>
    <w:rsid w:val="0064255E"/>
    <w:rsid w:val="006426C8"/>
    <w:rsid w:val="00642AAF"/>
    <w:rsid w:val="006431AF"/>
    <w:rsid w:val="006433C5"/>
    <w:rsid w:val="00643CF6"/>
    <w:rsid w:val="00643D2E"/>
    <w:rsid w:val="00643DE1"/>
    <w:rsid w:val="00643DE6"/>
    <w:rsid w:val="0064426D"/>
    <w:rsid w:val="00644415"/>
    <w:rsid w:val="006444B8"/>
    <w:rsid w:val="00644A55"/>
    <w:rsid w:val="006453F7"/>
    <w:rsid w:val="00645C58"/>
    <w:rsid w:val="006463A6"/>
    <w:rsid w:val="006469C9"/>
    <w:rsid w:val="00646F8C"/>
    <w:rsid w:val="00647147"/>
    <w:rsid w:val="0064739A"/>
    <w:rsid w:val="00647D51"/>
    <w:rsid w:val="006500F6"/>
    <w:rsid w:val="00650436"/>
    <w:rsid w:val="006505E8"/>
    <w:rsid w:val="00650729"/>
    <w:rsid w:val="00650871"/>
    <w:rsid w:val="00650AD4"/>
    <w:rsid w:val="00650C68"/>
    <w:rsid w:val="006510BF"/>
    <w:rsid w:val="006510D1"/>
    <w:rsid w:val="00651176"/>
    <w:rsid w:val="0065143B"/>
    <w:rsid w:val="006515DC"/>
    <w:rsid w:val="00651649"/>
    <w:rsid w:val="006518AC"/>
    <w:rsid w:val="00651D5E"/>
    <w:rsid w:val="0065241F"/>
    <w:rsid w:val="006524FA"/>
    <w:rsid w:val="00652785"/>
    <w:rsid w:val="0065282A"/>
    <w:rsid w:val="00652867"/>
    <w:rsid w:val="006529D3"/>
    <w:rsid w:val="00652B24"/>
    <w:rsid w:val="00652B8B"/>
    <w:rsid w:val="00652F1C"/>
    <w:rsid w:val="00652F4B"/>
    <w:rsid w:val="00652FA5"/>
    <w:rsid w:val="006531FB"/>
    <w:rsid w:val="00653BBB"/>
    <w:rsid w:val="00653E08"/>
    <w:rsid w:val="006541A2"/>
    <w:rsid w:val="0065484F"/>
    <w:rsid w:val="00654FCF"/>
    <w:rsid w:val="00655236"/>
    <w:rsid w:val="006553C9"/>
    <w:rsid w:val="006556B5"/>
    <w:rsid w:val="006559F7"/>
    <w:rsid w:val="00655DB3"/>
    <w:rsid w:val="0065621A"/>
    <w:rsid w:val="00656229"/>
    <w:rsid w:val="0065639B"/>
    <w:rsid w:val="00656AFC"/>
    <w:rsid w:val="00656D1B"/>
    <w:rsid w:val="006577DF"/>
    <w:rsid w:val="0065780D"/>
    <w:rsid w:val="00657EA9"/>
    <w:rsid w:val="0066003A"/>
    <w:rsid w:val="00660235"/>
    <w:rsid w:val="00660638"/>
    <w:rsid w:val="0066085A"/>
    <w:rsid w:val="00660984"/>
    <w:rsid w:val="00660B6E"/>
    <w:rsid w:val="00660BA0"/>
    <w:rsid w:val="00660F50"/>
    <w:rsid w:val="00660F9F"/>
    <w:rsid w:val="006610DD"/>
    <w:rsid w:val="006610FD"/>
    <w:rsid w:val="00661116"/>
    <w:rsid w:val="00661382"/>
    <w:rsid w:val="00661435"/>
    <w:rsid w:val="00661757"/>
    <w:rsid w:val="006618A7"/>
    <w:rsid w:val="00661E41"/>
    <w:rsid w:val="00661E8B"/>
    <w:rsid w:val="006621DB"/>
    <w:rsid w:val="006624FE"/>
    <w:rsid w:val="006626D8"/>
    <w:rsid w:val="00662956"/>
    <w:rsid w:val="00662DB1"/>
    <w:rsid w:val="00663060"/>
    <w:rsid w:val="00663D11"/>
    <w:rsid w:val="00663F4C"/>
    <w:rsid w:val="006640D6"/>
    <w:rsid w:val="00664290"/>
    <w:rsid w:val="0066433F"/>
    <w:rsid w:val="00664493"/>
    <w:rsid w:val="00664568"/>
    <w:rsid w:val="00664ECC"/>
    <w:rsid w:val="00664FA3"/>
    <w:rsid w:val="0066599E"/>
    <w:rsid w:val="00665EF8"/>
    <w:rsid w:val="006669DD"/>
    <w:rsid w:val="00666AA0"/>
    <w:rsid w:val="00666D62"/>
    <w:rsid w:val="0066711A"/>
    <w:rsid w:val="00667241"/>
    <w:rsid w:val="0066737A"/>
    <w:rsid w:val="006674F2"/>
    <w:rsid w:val="00667ABD"/>
    <w:rsid w:val="00667D9D"/>
    <w:rsid w:val="00667F55"/>
    <w:rsid w:val="00670025"/>
    <w:rsid w:val="00670308"/>
    <w:rsid w:val="00670771"/>
    <w:rsid w:val="006709EC"/>
    <w:rsid w:val="00670BFE"/>
    <w:rsid w:val="00670CB1"/>
    <w:rsid w:val="00670EAE"/>
    <w:rsid w:val="006711F7"/>
    <w:rsid w:val="00671C7B"/>
    <w:rsid w:val="00671FF8"/>
    <w:rsid w:val="00672D19"/>
    <w:rsid w:val="00673061"/>
    <w:rsid w:val="006730F8"/>
    <w:rsid w:val="00673104"/>
    <w:rsid w:val="0067328E"/>
    <w:rsid w:val="0067339D"/>
    <w:rsid w:val="006733CC"/>
    <w:rsid w:val="006733D2"/>
    <w:rsid w:val="00674286"/>
    <w:rsid w:val="006742E0"/>
    <w:rsid w:val="00674B02"/>
    <w:rsid w:val="00675650"/>
    <w:rsid w:val="00675E41"/>
    <w:rsid w:val="00676562"/>
    <w:rsid w:val="00676849"/>
    <w:rsid w:val="00676B45"/>
    <w:rsid w:val="00676CAF"/>
    <w:rsid w:val="006772B9"/>
    <w:rsid w:val="00677552"/>
    <w:rsid w:val="00677918"/>
    <w:rsid w:val="00677A00"/>
    <w:rsid w:val="00677A92"/>
    <w:rsid w:val="00677BBD"/>
    <w:rsid w:val="006804B6"/>
    <w:rsid w:val="006806E1"/>
    <w:rsid w:val="00680DB8"/>
    <w:rsid w:val="00680ECE"/>
    <w:rsid w:val="00681022"/>
    <w:rsid w:val="00681418"/>
    <w:rsid w:val="00681684"/>
    <w:rsid w:val="0068172E"/>
    <w:rsid w:val="00681749"/>
    <w:rsid w:val="00681787"/>
    <w:rsid w:val="00681833"/>
    <w:rsid w:val="00681848"/>
    <w:rsid w:val="00681EFF"/>
    <w:rsid w:val="00681FAB"/>
    <w:rsid w:val="00681FDC"/>
    <w:rsid w:val="00682379"/>
    <w:rsid w:val="006823CB"/>
    <w:rsid w:val="0068277C"/>
    <w:rsid w:val="00682A8F"/>
    <w:rsid w:val="0068315B"/>
    <w:rsid w:val="0068367F"/>
    <w:rsid w:val="00683AFE"/>
    <w:rsid w:val="0068459B"/>
    <w:rsid w:val="006846F4"/>
    <w:rsid w:val="00684AA6"/>
    <w:rsid w:val="00684F3A"/>
    <w:rsid w:val="006850F6"/>
    <w:rsid w:val="00685230"/>
    <w:rsid w:val="00685579"/>
    <w:rsid w:val="00686142"/>
    <w:rsid w:val="0068673B"/>
    <w:rsid w:val="00686A77"/>
    <w:rsid w:val="00686ABA"/>
    <w:rsid w:val="00686E60"/>
    <w:rsid w:val="006871FF"/>
    <w:rsid w:val="0068758F"/>
    <w:rsid w:val="00687C45"/>
    <w:rsid w:val="00687F0E"/>
    <w:rsid w:val="00690572"/>
    <w:rsid w:val="00690B4E"/>
    <w:rsid w:val="00690DFA"/>
    <w:rsid w:val="00691604"/>
    <w:rsid w:val="0069175D"/>
    <w:rsid w:val="00691C7A"/>
    <w:rsid w:val="00691EA4"/>
    <w:rsid w:val="00692815"/>
    <w:rsid w:val="006928E4"/>
    <w:rsid w:val="00692B34"/>
    <w:rsid w:val="00692B55"/>
    <w:rsid w:val="006938EE"/>
    <w:rsid w:val="006940F9"/>
    <w:rsid w:val="006944AF"/>
    <w:rsid w:val="006946EC"/>
    <w:rsid w:val="00694A4D"/>
    <w:rsid w:val="00695089"/>
    <w:rsid w:val="006950D7"/>
    <w:rsid w:val="00695517"/>
    <w:rsid w:val="00695BA6"/>
    <w:rsid w:val="00695CFA"/>
    <w:rsid w:val="006962D6"/>
    <w:rsid w:val="00696B8E"/>
    <w:rsid w:val="00696EE3"/>
    <w:rsid w:val="00696F13"/>
    <w:rsid w:val="0069714C"/>
    <w:rsid w:val="00697301"/>
    <w:rsid w:val="0069767A"/>
    <w:rsid w:val="00697794"/>
    <w:rsid w:val="00697817"/>
    <w:rsid w:val="00697CAD"/>
    <w:rsid w:val="006A0136"/>
    <w:rsid w:val="006A01B6"/>
    <w:rsid w:val="006A0759"/>
    <w:rsid w:val="006A0A5D"/>
    <w:rsid w:val="006A0F57"/>
    <w:rsid w:val="006A1094"/>
    <w:rsid w:val="006A1467"/>
    <w:rsid w:val="006A14DF"/>
    <w:rsid w:val="006A171E"/>
    <w:rsid w:val="006A1DE2"/>
    <w:rsid w:val="006A1EAB"/>
    <w:rsid w:val="006A2A71"/>
    <w:rsid w:val="006A3080"/>
    <w:rsid w:val="006A3210"/>
    <w:rsid w:val="006A3495"/>
    <w:rsid w:val="006A35F0"/>
    <w:rsid w:val="006A3A46"/>
    <w:rsid w:val="006A3C3A"/>
    <w:rsid w:val="006A3C41"/>
    <w:rsid w:val="006A3F7D"/>
    <w:rsid w:val="006A411F"/>
    <w:rsid w:val="006A4207"/>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60F"/>
    <w:rsid w:val="006B3EC2"/>
    <w:rsid w:val="006B426F"/>
    <w:rsid w:val="006B4D7E"/>
    <w:rsid w:val="006B504C"/>
    <w:rsid w:val="006B5475"/>
    <w:rsid w:val="006B56D5"/>
    <w:rsid w:val="006B57D2"/>
    <w:rsid w:val="006B61AF"/>
    <w:rsid w:val="006B6CBA"/>
    <w:rsid w:val="006B7387"/>
    <w:rsid w:val="006B787F"/>
    <w:rsid w:val="006B7D96"/>
    <w:rsid w:val="006C008E"/>
    <w:rsid w:val="006C00A1"/>
    <w:rsid w:val="006C042A"/>
    <w:rsid w:val="006C0831"/>
    <w:rsid w:val="006C09AD"/>
    <w:rsid w:val="006C0FE6"/>
    <w:rsid w:val="006C171E"/>
    <w:rsid w:val="006C17A4"/>
    <w:rsid w:val="006C1D6C"/>
    <w:rsid w:val="006C1D84"/>
    <w:rsid w:val="006C235F"/>
    <w:rsid w:val="006C268A"/>
    <w:rsid w:val="006C2790"/>
    <w:rsid w:val="006C2867"/>
    <w:rsid w:val="006C28EC"/>
    <w:rsid w:val="006C4489"/>
    <w:rsid w:val="006C467C"/>
    <w:rsid w:val="006C47AC"/>
    <w:rsid w:val="006C48A6"/>
    <w:rsid w:val="006C49E0"/>
    <w:rsid w:val="006C4A33"/>
    <w:rsid w:val="006C4DE5"/>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6E64"/>
    <w:rsid w:val="006C7046"/>
    <w:rsid w:val="006C734B"/>
    <w:rsid w:val="006C783D"/>
    <w:rsid w:val="006C796A"/>
    <w:rsid w:val="006C79E4"/>
    <w:rsid w:val="006C7C00"/>
    <w:rsid w:val="006C7C27"/>
    <w:rsid w:val="006C7CCD"/>
    <w:rsid w:val="006D01DC"/>
    <w:rsid w:val="006D0306"/>
    <w:rsid w:val="006D03AD"/>
    <w:rsid w:val="006D0518"/>
    <w:rsid w:val="006D062A"/>
    <w:rsid w:val="006D088B"/>
    <w:rsid w:val="006D09A6"/>
    <w:rsid w:val="006D12EE"/>
    <w:rsid w:val="006D178C"/>
    <w:rsid w:val="006D1B10"/>
    <w:rsid w:val="006D1E58"/>
    <w:rsid w:val="006D23ED"/>
    <w:rsid w:val="006D28B4"/>
    <w:rsid w:val="006D2A64"/>
    <w:rsid w:val="006D2C7B"/>
    <w:rsid w:val="006D2DA6"/>
    <w:rsid w:val="006D2EFC"/>
    <w:rsid w:val="006D30F1"/>
    <w:rsid w:val="006D3858"/>
    <w:rsid w:val="006D39AC"/>
    <w:rsid w:val="006D3A9C"/>
    <w:rsid w:val="006D45A3"/>
    <w:rsid w:val="006D499D"/>
    <w:rsid w:val="006D4E2A"/>
    <w:rsid w:val="006D5275"/>
    <w:rsid w:val="006D53E0"/>
    <w:rsid w:val="006D561A"/>
    <w:rsid w:val="006D56FD"/>
    <w:rsid w:val="006D5D19"/>
    <w:rsid w:val="006D5D1C"/>
    <w:rsid w:val="006D5DD6"/>
    <w:rsid w:val="006D66C4"/>
    <w:rsid w:val="006D676D"/>
    <w:rsid w:val="006D6784"/>
    <w:rsid w:val="006D693D"/>
    <w:rsid w:val="006D69AD"/>
    <w:rsid w:val="006D7246"/>
    <w:rsid w:val="006D7334"/>
    <w:rsid w:val="006D748A"/>
    <w:rsid w:val="006E01D7"/>
    <w:rsid w:val="006E0582"/>
    <w:rsid w:val="006E0803"/>
    <w:rsid w:val="006E0881"/>
    <w:rsid w:val="006E0EF8"/>
    <w:rsid w:val="006E1061"/>
    <w:rsid w:val="006E11ED"/>
    <w:rsid w:val="006E16EB"/>
    <w:rsid w:val="006E26BF"/>
    <w:rsid w:val="006E26E2"/>
    <w:rsid w:val="006E27DC"/>
    <w:rsid w:val="006E366C"/>
    <w:rsid w:val="006E3DFB"/>
    <w:rsid w:val="006E3E37"/>
    <w:rsid w:val="006E3E6D"/>
    <w:rsid w:val="006E3EA5"/>
    <w:rsid w:val="006E3F65"/>
    <w:rsid w:val="006E4416"/>
    <w:rsid w:val="006E44C5"/>
    <w:rsid w:val="006E47C6"/>
    <w:rsid w:val="006E4AF8"/>
    <w:rsid w:val="006E4EA4"/>
    <w:rsid w:val="006E51B5"/>
    <w:rsid w:val="006E5376"/>
    <w:rsid w:val="006E589B"/>
    <w:rsid w:val="006E60F1"/>
    <w:rsid w:val="006E645E"/>
    <w:rsid w:val="006E647C"/>
    <w:rsid w:val="006E6999"/>
    <w:rsid w:val="006E6B05"/>
    <w:rsid w:val="006E6F61"/>
    <w:rsid w:val="006E6F8E"/>
    <w:rsid w:val="006E7288"/>
    <w:rsid w:val="006E771F"/>
    <w:rsid w:val="006E7814"/>
    <w:rsid w:val="006E79B7"/>
    <w:rsid w:val="006E7D41"/>
    <w:rsid w:val="006F0492"/>
    <w:rsid w:val="006F07FC"/>
    <w:rsid w:val="006F096B"/>
    <w:rsid w:val="006F1884"/>
    <w:rsid w:val="006F1984"/>
    <w:rsid w:val="006F1A0E"/>
    <w:rsid w:val="006F1E80"/>
    <w:rsid w:val="006F2468"/>
    <w:rsid w:val="006F2D41"/>
    <w:rsid w:val="006F2DAB"/>
    <w:rsid w:val="006F2DFA"/>
    <w:rsid w:val="006F34DF"/>
    <w:rsid w:val="006F3F74"/>
    <w:rsid w:val="006F4130"/>
    <w:rsid w:val="006F4989"/>
    <w:rsid w:val="006F4A66"/>
    <w:rsid w:val="006F4AEF"/>
    <w:rsid w:val="006F4B84"/>
    <w:rsid w:val="006F580D"/>
    <w:rsid w:val="006F5F52"/>
    <w:rsid w:val="006F6665"/>
    <w:rsid w:val="006F6844"/>
    <w:rsid w:val="006F688C"/>
    <w:rsid w:val="006F6939"/>
    <w:rsid w:val="006F6C9A"/>
    <w:rsid w:val="006F6D79"/>
    <w:rsid w:val="006F7036"/>
    <w:rsid w:val="006F7393"/>
    <w:rsid w:val="006F76DF"/>
    <w:rsid w:val="006F76EA"/>
    <w:rsid w:val="006F78D9"/>
    <w:rsid w:val="006F7931"/>
    <w:rsid w:val="006F7AD1"/>
    <w:rsid w:val="006F7D51"/>
    <w:rsid w:val="00700BCA"/>
    <w:rsid w:val="00700CE7"/>
    <w:rsid w:val="007017AC"/>
    <w:rsid w:val="00701C42"/>
    <w:rsid w:val="0070259B"/>
    <w:rsid w:val="00702F5B"/>
    <w:rsid w:val="00703018"/>
    <w:rsid w:val="00703321"/>
    <w:rsid w:val="007035BD"/>
    <w:rsid w:val="0070385C"/>
    <w:rsid w:val="00703AA2"/>
    <w:rsid w:val="007044CD"/>
    <w:rsid w:val="00704DB9"/>
    <w:rsid w:val="00704DE4"/>
    <w:rsid w:val="007050B0"/>
    <w:rsid w:val="00705429"/>
    <w:rsid w:val="007058B7"/>
    <w:rsid w:val="0070643D"/>
    <w:rsid w:val="007067BB"/>
    <w:rsid w:val="00706ADC"/>
    <w:rsid w:val="00707D37"/>
    <w:rsid w:val="00710296"/>
    <w:rsid w:val="00710E4A"/>
    <w:rsid w:val="00710FEC"/>
    <w:rsid w:val="00711355"/>
    <w:rsid w:val="0071175A"/>
    <w:rsid w:val="00711D71"/>
    <w:rsid w:val="0071227E"/>
    <w:rsid w:val="007122AE"/>
    <w:rsid w:val="0071233A"/>
    <w:rsid w:val="00712B84"/>
    <w:rsid w:val="007134B2"/>
    <w:rsid w:val="0071353E"/>
    <w:rsid w:val="00713656"/>
    <w:rsid w:val="00713831"/>
    <w:rsid w:val="00713DCD"/>
    <w:rsid w:val="00714093"/>
    <w:rsid w:val="007141C4"/>
    <w:rsid w:val="007142E0"/>
    <w:rsid w:val="007145FB"/>
    <w:rsid w:val="00714B52"/>
    <w:rsid w:val="00714CDD"/>
    <w:rsid w:val="00715037"/>
    <w:rsid w:val="007153F7"/>
    <w:rsid w:val="0071624E"/>
    <w:rsid w:val="00716B03"/>
    <w:rsid w:val="00716B4F"/>
    <w:rsid w:val="007170DD"/>
    <w:rsid w:val="007173F4"/>
    <w:rsid w:val="00717414"/>
    <w:rsid w:val="00717447"/>
    <w:rsid w:val="0072069C"/>
    <w:rsid w:val="00720725"/>
    <w:rsid w:val="00721BA6"/>
    <w:rsid w:val="00722048"/>
    <w:rsid w:val="007221A2"/>
    <w:rsid w:val="0072244E"/>
    <w:rsid w:val="0072282F"/>
    <w:rsid w:val="00722855"/>
    <w:rsid w:val="00722F51"/>
    <w:rsid w:val="0072314F"/>
    <w:rsid w:val="0072349A"/>
    <w:rsid w:val="007239F5"/>
    <w:rsid w:val="00723A6F"/>
    <w:rsid w:val="00723C1D"/>
    <w:rsid w:val="00724B02"/>
    <w:rsid w:val="00724F21"/>
    <w:rsid w:val="0072512D"/>
    <w:rsid w:val="00725CB4"/>
    <w:rsid w:val="00725CF6"/>
    <w:rsid w:val="00726A40"/>
    <w:rsid w:val="00726DAF"/>
    <w:rsid w:val="00726F88"/>
    <w:rsid w:val="007277EE"/>
    <w:rsid w:val="007278E1"/>
    <w:rsid w:val="00727902"/>
    <w:rsid w:val="00727A4D"/>
    <w:rsid w:val="00727FA5"/>
    <w:rsid w:val="0073006E"/>
    <w:rsid w:val="0073012E"/>
    <w:rsid w:val="007308C6"/>
    <w:rsid w:val="007315EB"/>
    <w:rsid w:val="007319D8"/>
    <w:rsid w:val="00731FEE"/>
    <w:rsid w:val="007324F6"/>
    <w:rsid w:val="007327C6"/>
    <w:rsid w:val="00732A62"/>
    <w:rsid w:val="00732DC1"/>
    <w:rsid w:val="00732E82"/>
    <w:rsid w:val="007333C7"/>
    <w:rsid w:val="007335C2"/>
    <w:rsid w:val="007336EB"/>
    <w:rsid w:val="00733CF8"/>
    <w:rsid w:val="0073407A"/>
    <w:rsid w:val="007340EC"/>
    <w:rsid w:val="00734D1F"/>
    <w:rsid w:val="00734FBA"/>
    <w:rsid w:val="00736687"/>
    <w:rsid w:val="007368AE"/>
    <w:rsid w:val="0073713B"/>
    <w:rsid w:val="00737893"/>
    <w:rsid w:val="00737A98"/>
    <w:rsid w:val="007400EF"/>
    <w:rsid w:val="007408CE"/>
    <w:rsid w:val="00740E25"/>
    <w:rsid w:val="00740FA3"/>
    <w:rsid w:val="00741A80"/>
    <w:rsid w:val="00741AC4"/>
    <w:rsid w:val="00741AE0"/>
    <w:rsid w:val="00741AF9"/>
    <w:rsid w:val="00741B22"/>
    <w:rsid w:val="00741E25"/>
    <w:rsid w:val="00742AD0"/>
    <w:rsid w:val="00742E24"/>
    <w:rsid w:val="00743288"/>
    <w:rsid w:val="007434DA"/>
    <w:rsid w:val="00743556"/>
    <w:rsid w:val="00743627"/>
    <w:rsid w:val="00743D03"/>
    <w:rsid w:val="00743E93"/>
    <w:rsid w:val="00744063"/>
    <w:rsid w:val="0074406F"/>
    <w:rsid w:val="007442FF"/>
    <w:rsid w:val="00744CE6"/>
    <w:rsid w:val="00744E3C"/>
    <w:rsid w:val="00745838"/>
    <w:rsid w:val="007459D5"/>
    <w:rsid w:val="00745EE5"/>
    <w:rsid w:val="0074638A"/>
    <w:rsid w:val="007477CA"/>
    <w:rsid w:val="00747BB2"/>
    <w:rsid w:val="00750021"/>
    <w:rsid w:val="007508DE"/>
    <w:rsid w:val="007509AB"/>
    <w:rsid w:val="007510A7"/>
    <w:rsid w:val="00751216"/>
    <w:rsid w:val="0075180C"/>
    <w:rsid w:val="00751A20"/>
    <w:rsid w:val="00751B1B"/>
    <w:rsid w:val="00751FA1"/>
    <w:rsid w:val="00751FBE"/>
    <w:rsid w:val="00752128"/>
    <w:rsid w:val="0075224B"/>
    <w:rsid w:val="00752821"/>
    <w:rsid w:val="00752B0F"/>
    <w:rsid w:val="00752F7E"/>
    <w:rsid w:val="00753104"/>
    <w:rsid w:val="00753FA0"/>
    <w:rsid w:val="007544F8"/>
    <w:rsid w:val="0075472C"/>
    <w:rsid w:val="00754920"/>
    <w:rsid w:val="00754DCC"/>
    <w:rsid w:val="00754E31"/>
    <w:rsid w:val="00754EAF"/>
    <w:rsid w:val="0075515A"/>
    <w:rsid w:val="007553FB"/>
    <w:rsid w:val="007558E9"/>
    <w:rsid w:val="00755E27"/>
    <w:rsid w:val="007565FC"/>
    <w:rsid w:val="00756F85"/>
    <w:rsid w:val="00757277"/>
    <w:rsid w:val="0075743E"/>
    <w:rsid w:val="007574CF"/>
    <w:rsid w:val="0075772C"/>
    <w:rsid w:val="00757892"/>
    <w:rsid w:val="00760100"/>
    <w:rsid w:val="007604BE"/>
    <w:rsid w:val="007606C6"/>
    <w:rsid w:val="00760C96"/>
    <w:rsid w:val="00760E1B"/>
    <w:rsid w:val="00760F8E"/>
    <w:rsid w:val="0076137F"/>
    <w:rsid w:val="00761C44"/>
    <w:rsid w:val="00762248"/>
    <w:rsid w:val="00762773"/>
    <w:rsid w:val="007629B7"/>
    <w:rsid w:val="007629F7"/>
    <w:rsid w:val="00762A44"/>
    <w:rsid w:val="00762A9E"/>
    <w:rsid w:val="0076318C"/>
    <w:rsid w:val="00763F22"/>
    <w:rsid w:val="00764059"/>
    <w:rsid w:val="007640DF"/>
    <w:rsid w:val="00764128"/>
    <w:rsid w:val="00764486"/>
    <w:rsid w:val="00764510"/>
    <w:rsid w:val="007647D6"/>
    <w:rsid w:val="0076499A"/>
    <w:rsid w:val="00764D5C"/>
    <w:rsid w:val="00765074"/>
    <w:rsid w:val="007652B4"/>
    <w:rsid w:val="00765C3C"/>
    <w:rsid w:val="00766136"/>
    <w:rsid w:val="007661CF"/>
    <w:rsid w:val="00766324"/>
    <w:rsid w:val="00766995"/>
    <w:rsid w:val="00766ABB"/>
    <w:rsid w:val="00767466"/>
    <w:rsid w:val="007675CA"/>
    <w:rsid w:val="00767670"/>
    <w:rsid w:val="0076777A"/>
    <w:rsid w:val="007678D9"/>
    <w:rsid w:val="007679A6"/>
    <w:rsid w:val="00767B5C"/>
    <w:rsid w:val="00767B5D"/>
    <w:rsid w:val="00767C30"/>
    <w:rsid w:val="00767C90"/>
    <w:rsid w:val="00767EA2"/>
    <w:rsid w:val="00767ECF"/>
    <w:rsid w:val="007701B9"/>
    <w:rsid w:val="00770552"/>
    <w:rsid w:val="00770ED7"/>
    <w:rsid w:val="00770F24"/>
    <w:rsid w:val="00772124"/>
    <w:rsid w:val="0077227D"/>
    <w:rsid w:val="007723D5"/>
    <w:rsid w:val="00772497"/>
    <w:rsid w:val="007724E3"/>
    <w:rsid w:val="007725D7"/>
    <w:rsid w:val="00772681"/>
    <w:rsid w:val="0077273D"/>
    <w:rsid w:val="007727EF"/>
    <w:rsid w:val="0077289F"/>
    <w:rsid w:val="007728B6"/>
    <w:rsid w:val="00772DBC"/>
    <w:rsid w:val="00772ED1"/>
    <w:rsid w:val="007730DD"/>
    <w:rsid w:val="00773617"/>
    <w:rsid w:val="0077391D"/>
    <w:rsid w:val="0077398C"/>
    <w:rsid w:val="00773AE1"/>
    <w:rsid w:val="00773FC6"/>
    <w:rsid w:val="00774133"/>
    <w:rsid w:val="007743EB"/>
    <w:rsid w:val="0077456D"/>
    <w:rsid w:val="00774796"/>
    <w:rsid w:val="00774BE2"/>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B86"/>
    <w:rsid w:val="00780DA6"/>
    <w:rsid w:val="00780F79"/>
    <w:rsid w:val="00781860"/>
    <w:rsid w:val="007818CF"/>
    <w:rsid w:val="00781EC9"/>
    <w:rsid w:val="00782185"/>
    <w:rsid w:val="0078235C"/>
    <w:rsid w:val="00782755"/>
    <w:rsid w:val="00782B8E"/>
    <w:rsid w:val="00782D1C"/>
    <w:rsid w:val="007831D7"/>
    <w:rsid w:val="0078359E"/>
    <w:rsid w:val="00783715"/>
    <w:rsid w:val="00783871"/>
    <w:rsid w:val="00783A49"/>
    <w:rsid w:val="00783EC3"/>
    <w:rsid w:val="0078414A"/>
    <w:rsid w:val="00784655"/>
    <w:rsid w:val="00784ABF"/>
    <w:rsid w:val="007851AE"/>
    <w:rsid w:val="00785444"/>
    <w:rsid w:val="00785E42"/>
    <w:rsid w:val="00786981"/>
    <w:rsid w:val="00786A41"/>
    <w:rsid w:val="00786D61"/>
    <w:rsid w:val="00786FC8"/>
    <w:rsid w:val="00787241"/>
    <w:rsid w:val="0078750C"/>
    <w:rsid w:val="00787760"/>
    <w:rsid w:val="007877A6"/>
    <w:rsid w:val="00787D2D"/>
    <w:rsid w:val="007902D4"/>
    <w:rsid w:val="0079090C"/>
    <w:rsid w:val="007909C8"/>
    <w:rsid w:val="00790D48"/>
    <w:rsid w:val="0079127F"/>
    <w:rsid w:val="00791CD9"/>
    <w:rsid w:val="00792190"/>
    <w:rsid w:val="007925A9"/>
    <w:rsid w:val="007925EE"/>
    <w:rsid w:val="00792699"/>
    <w:rsid w:val="00792AC0"/>
    <w:rsid w:val="00792BB5"/>
    <w:rsid w:val="00793410"/>
    <w:rsid w:val="007936F1"/>
    <w:rsid w:val="0079382D"/>
    <w:rsid w:val="00793C13"/>
    <w:rsid w:val="007942B9"/>
    <w:rsid w:val="007951FF"/>
    <w:rsid w:val="00795315"/>
    <w:rsid w:val="007961A4"/>
    <w:rsid w:val="00796722"/>
    <w:rsid w:val="00796918"/>
    <w:rsid w:val="007969C5"/>
    <w:rsid w:val="00796B79"/>
    <w:rsid w:val="00796B7F"/>
    <w:rsid w:val="00796CAA"/>
    <w:rsid w:val="00796DBB"/>
    <w:rsid w:val="00797660"/>
    <w:rsid w:val="00797991"/>
    <w:rsid w:val="00797DE3"/>
    <w:rsid w:val="00797E2B"/>
    <w:rsid w:val="00797F1E"/>
    <w:rsid w:val="007A0208"/>
    <w:rsid w:val="007A024E"/>
    <w:rsid w:val="007A029E"/>
    <w:rsid w:val="007A043A"/>
    <w:rsid w:val="007A06B0"/>
    <w:rsid w:val="007A08CC"/>
    <w:rsid w:val="007A0C6E"/>
    <w:rsid w:val="007A1345"/>
    <w:rsid w:val="007A152A"/>
    <w:rsid w:val="007A1845"/>
    <w:rsid w:val="007A1C42"/>
    <w:rsid w:val="007A1D5A"/>
    <w:rsid w:val="007A1F8C"/>
    <w:rsid w:val="007A1FD8"/>
    <w:rsid w:val="007A2A43"/>
    <w:rsid w:val="007A3000"/>
    <w:rsid w:val="007A30A8"/>
    <w:rsid w:val="007A30F7"/>
    <w:rsid w:val="007A37B1"/>
    <w:rsid w:val="007A3AAA"/>
    <w:rsid w:val="007A3F47"/>
    <w:rsid w:val="007A3F4B"/>
    <w:rsid w:val="007A4296"/>
    <w:rsid w:val="007A4A38"/>
    <w:rsid w:val="007A4B86"/>
    <w:rsid w:val="007A5446"/>
    <w:rsid w:val="007A56B0"/>
    <w:rsid w:val="007A5868"/>
    <w:rsid w:val="007A5EC4"/>
    <w:rsid w:val="007A6960"/>
    <w:rsid w:val="007A72AC"/>
    <w:rsid w:val="007A778F"/>
    <w:rsid w:val="007A7BF5"/>
    <w:rsid w:val="007A7F93"/>
    <w:rsid w:val="007B00F0"/>
    <w:rsid w:val="007B0871"/>
    <w:rsid w:val="007B0B40"/>
    <w:rsid w:val="007B0F5C"/>
    <w:rsid w:val="007B0F99"/>
    <w:rsid w:val="007B120F"/>
    <w:rsid w:val="007B134D"/>
    <w:rsid w:val="007B1442"/>
    <w:rsid w:val="007B1A3C"/>
    <w:rsid w:val="007B1EA3"/>
    <w:rsid w:val="007B259D"/>
    <w:rsid w:val="007B2B23"/>
    <w:rsid w:val="007B2E82"/>
    <w:rsid w:val="007B2F12"/>
    <w:rsid w:val="007B3CEC"/>
    <w:rsid w:val="007B3D92"/>
    <w:rsid w:val="007B3E31"/>
    <w:rsid w:val="007B4106"/>
    <w:rsid w:val="007B470B"/>
    <w:rsid w:val="007B4762"/>
    <w:rsid w:val="007B50E7"/>
    <w:rsid w:val="007B51B5"/>
    <w:rsid w:val="007B5865"/>
    <w:rsid w:val="007B5B45"/>
    <w:rsid w:val="007B5CBF"/>
    <w:rsid w:val="007B60BC"/>
    <w:rsid w:val="007B64D5"/>
    <w:rsid w:val="007B6725"/>
    <w:rsid w:val="007B6780"/>
    <w:rsid w:val="007B693A"/>
    <w:rsid w:val="007B7031"/>
    <w:rsid w:val="007B7085"/>
    <w:rsid w:val="007B745D"/>
    <w:rsid w:val="007B74DD"/>
    <w:rsid w:val="007B75D0"/>
    <w:rsid w:val="007B799A"/>
    <w:rsid w:val="007B7CE9"/>
    <w:rsid w:val="007B7E39"/>
    <w:rsid w:val="007C0221"/>
    <w:rsid w:val="007C0C9D"/>
    <w:rsid w:val="007C0DCD"/>
    <w:rsid w:val="007C0E1E"/>
    <w:rsid w:val="007C0E9E"/>
    <w:rsid w:val="007C181A"/>
    <w:rsid w:val="007C183D"/>
    <w:rsid w:val="007C23B8"/>
    <w:rsid w:val="007C2AC2"/>
    <w:rsid w:val="007C2C50"/>
    <w:rsid w:val="007C2CF1"/>
    <w:rsid w:val="007C37CE"/>
    <w:rsid w:val="007C397E"/>
    <w:rsid w:val="007C3A40"/>
    <w:rsid w:val="007C3BCB"/>
    <w:rsid w:val="007C3C6C"/>
    <w:rsid w:val="007C46CC"/>
    <w:rsid w:val="007C47DE"/>
    <w:rsid w:val="007C4A78"/>
    <w:rsid w:val="007C4D34"/>
    <w:rsid w:val="007C575C"/>
    <w:rsid w:val="007C577B"/>
    <w:rsid w:val="007C5ACB"/>
    <w:rsid w:val="007C5CAC"/>
    <w:rsid w:val="007C5DBE"/>
    <w:rsid w:val="007C6085"/>
    <w:rsid w:val="007C62C0"/>
    <w:rsid w:val="007C633E"/>
    <w:rsid w:val="007C63CB"/>
    <w:rsid w:val="007C680D"/>
    <w:rsid w:val="007C6EAB"/>
    <w:rsid w:val="007C6EFB"/>
    <w:rsid w:val="007C75E7"/>
    <w:rsid w:val="007C7CB9"/>
    <w:rsid w:val="007D04C9"/>
    <w:rsid w:val="007D0749"/>
    <w:rsid w:val="007D0B47"/>
    <w:rsid w:val="007D1847"/>
    <w:rsid w:val="007D2004"/>
    <w:rsid w:val="007D228B"/>
    <w:rsid w:val="007D2467"/>
    <w:rsid w:val="007D2670"/>
    <w:rsid w:val="007D29AA"/>
    <w:rsid w:val="007D32C2"/>
    <w:rsid w:val="007D341D"/>
    <w:rsid w:val="007D379D"/>
    <w:rsid w:val="007D3C62"/>
    <w:rsid w:val="007D5153"/>
    <w:rsid w:val="007D5E44"/>
    <w:rsid w:val="007D629D"/>
    <w:rsid w:val="007D6651"/>
    <w:rsid w:val="007D69F9"/>
    <w:rsid w:val="007D77BD"/>
    <w:rsid w:val="007D7DFA"/>
    <w:rsid w:val="007E0642"/>
    <w:rsid w:val="007E079E"/>
    <w:rsid w:val="007E0A3C"/>
    <w:rsid w:val="007E0A7D"/>
    <w:rsid w:val="007E0D73"/>
    <w:rsid w:val="007E196F"/>
    <w:rsid w:val="007E1D78"/>
    <w:rsid w:val="007E1D90"/>
    <w:rsid w:val="007E1E93"/>
    <w:rsid w:val="007E202B"/>
    <w:rsid w:val="007E213F"/>
    <w:rsid w:val="007E2709"/>
    <w:rsid w:val="007E2AA3"/>
    <w:rsid w:val="007E2EE6"/>
    <w:rsid w:val="007E2F19"/>
    <w:rsid w:val="007E3070"/>
    <w:rsid w:val="007E3135"/>
    <w:rsid w:val="007E31D0"/>
    <w:rsid w:val="007E42D6"/>
    <w:rsid w:val="007E460F"/>
    <w:rsid w:val="007E4614"/>
    <w:rsid w:val="007E4A40"/>
    <w:rsid w:val="007E4CAD"/>
    <w:rsid w:val="007E50E7"/>
    <w:rsid w:val="007E5311"/>
    <w:rsid w:val="007E55B2"/>
    <w:rsid w:val="007E59B6"/>
    <w:rsid w:val="007E5B87"/>
    <w:rsid w:val="007E5DF9"/>
    <w:rsid w:val="007E707F"/>
    <w:rsid w:val="007E7342"/>
    <w:rsid w:val="007E735A"/>
    <w:rsid w:val="007E74B3"/>
    <w:rsid w:val="007E74F1"/>
    <w:rsid w:val="007E791F"/>
    <w:rsid w:val="007E79BA"/>
    <w:rsid w:val="007E7B40"/>
    <w:rsid w:val="007E7B47"/>
    <w:rsid w:val="007E7DE6"/>
    <w:rsid w:val="007E7DF7"/>
    <w:rsid w:val="007F00B1"/>
    <w:rsid w:val="007F063F"/>
    <w:rsid w:val="007F0752"/>
    <w:rsid w:val="007F0949"/>
    <w:rsid w:val="007F099A"/>
    <w:rsid w:val="007F0D6A"/>
    <w:rsid w:val="007F108A"/>
    <w:rsid w:val="007F10C3"/>
    <w:rsid w:val="007F1198"/>
    <w:rsid w:val="007F132F"/>
    <w:rsid w:val="007F241F"/>
    <w:rsid w:val="007F30FF"/>
    <w:rsid w:val="007F32F4"/>
    <w:rsid w:val="007F33BD"/>
    <w:rsid w:val="007F37E6"/>
    <w:rsid w:val="007F3A67"/>
    <w:rsid w:val="007F3C40"/>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1BF"/>
    <w:rsid w:val="007F779D"/>
    <w:rsid w:val="008000AC"/>
    <w:rsid w:val="0080061C"/>
    <w:rsid w:val="008007C5"/>
    <w:rsid w:val="00800F65"/>
    <w:rsid w:val="008023D4"/>
    <w:rsid w:val="00802994"/>
    <w:rsid w:val="00802998"/>
    <w:rsid w:val="008029F4"/>
    <w:rsid w:val="00802FFF"/>
    <w:rsid w:val="008035CF"/>
    <w:rsid w:val="00803A09"/>
    <w:rsid w:val="00803FE0"/>
    <w:rsid w:val="008044A7"/>
    <w:rsid w:val="00804781"/>
    <w:rsid w:val="008047A1"/>
    <w:rsid w:val="00804823"/>
    <w:rsid w:val="00804B67"/>
    <w:rsid w:val="00804C80"/>
    <w:rsid w:val="00804EC5"/>
    <w:rsid w:val="008050D7"/>
    <w:rsid w:val="00805106"/>
    <w:rsid w:val="008054CA"/>
    <w:rsid w:val="00805521"/>
    <w:rsid w:val="00805685"/>
    <w:rsid w:val="00805A30"/>
    <w:rsid w:val="00805F02"/>
    <w:rsid w:val="008061B2"/>
    <w:rsid w:val="00806770"/>
    <w:rsid w:val="00806B5B"/>
    <w:rsid w:val="00807F57"/>
    <w:rsid w:val="00807FCC"/>
    <w:rsid w:val="00810177"/>
    <w:rsid w:val="00810931"/>
    <w:rsid w:val="00810A7D"/>
    <w:rsid w:val="00810C22"/>
    <w:rsid w:val="008110DF"/>
    <w:rsid w:val="0081130A"/>
    <w:rsid w:val="00811424"/>
    <w:rsid w:val="008118A8"/>
    <w:rsid w:val="008119B1"/>
    <w:rsid w:val="00811F1E"/>
    <w:rsid w:val="008124D0"/>
    <w:rsid w:val="0081275A"/>
    <w:rsid w:val="00812AB2"/>
    <w:rsid w:val="00812B07"/>
    <w:rsid w:val="00812E92"/>
    <w:rsid w:val="00812EB8"/>
    <w:rsid w:val="008130A7"/>
    <w:rsid w:val="0081323D"/>
    <w:rsid w:val="008132BC"/>
    <w:rsid w:val="00813496"/>
    <w:rsid w:val="00813731"/>
    <w:rsid w:val="008137DB"/>
    <w:rsid w:val="00813B30"/>
    <w:rsid w:val="00813D08"/>
    <w:rsid w:val="00814516"/>
    <w:rsid w:val="008148B8"/>
    <w:rsid w:val="00814B10"/>
    <w:rsid w:val="00814CA6"/>
    <w:rsid w:val="00814F00"/>
    <w:rsid w:val="00815088"/>
    <w:rsid w:val="008153BE"/>
    <w:rsid w:val="008153F4"/>
    <w:rsid w:val="008165E4"/>
    <w:rsid w:val="00816B7D"/>
    <w:rsid w:val="00816C98"/>
    <w:rsid w:val="00816D02"/>
    <w:rsid w:val="00816EC3"/>
    <w:rsid w:val="00817588"/>
    <w:rsid w:val="008176D8"/>
    <w:rsid w:val="00817BF6"/>
    <w:rsid w:val="00817C92"/>
    <w:rsid w:val="00817D5B"/>
    <w:rsid w:val="008202A8"/>
    <w:rsid w:val="00820E02"/>
    <w:rsid w:val="008214E8"/>
    <w:rsid w:val="00821E29"/>
    <w:rsid w:val="0082263E"/>
    <w:rsid w:val="00822D6F"/>
    <w:rsid w:val="0082309E"/>
    <w:rsid w:val="00823349"/>
    <w:rsid w:val="00823D5F"/>
    <w:rsid w:val="008241BC"/>
    <w:rsid w:val="00824AA5"/>
    <w:rsid w:val="00824CC5"/>
    <w:rsid w:val="0082563D"/>
    <w:rsid w:val="00825903"/>
    <w:rsid w:val="00826BD5"/>
    <w:rsid w:val="008271E2"/>
    <w:rsid w:val="0082758B"/>
    <w:rsid w:val="008279DE"/>
    <w:rsid w:val="00827A32"/>
    <w:rsid w:val="00827B69"/>
    <w:rsid w:val="0083002C"/>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189"/>
    <w:rsid w:val="0083225E"/>
    <w:rsid w:val="00832720"/>
    <w:rsid w:val="008328B3"/>
    <w:rsid w:val="00832DB8"/>
    <w:rsid w:val="00833479"/>
    <w:rsid w:val="00833ECC"/>
    <w:rsid w:val="008341A4"/>
    <w:rsid w:val="0083449C"/>
    <w:rsid w:val="008344C7"/>
    <w:rsid w:val="008345A4"/>
    <w:rsid w:val="008346C7"/>
    <w:rsid w:val="0083476E"/>
    <w:rsid w:val="00834A41"/>
    <w:rsid w:val="00834DC3"/>
    <w:rsid w:val="00834E57"/>
    <w:rsid w:val="00834E7F"/>
    <w:rsid w:val="00834F7C"/>
    <w:rsid w:val="008350CC"/>
    <w:rsid w:val="008355BB"/>
    <w:rsid w:val="0083596C"/>
    <w:rsid w:val="00835AC1"/>
    <w:rsid w:val="00835D00"/>
    <w:rsid w:val="00836431"/>
    <w:rsid w:val="008367F4"/>
    <w:rsid w:val="008371B8"/>
    <w:rsid w:val="008371C5"/>
    <w:rsid w:val="008374B7"/>
    <w:rsid w:val="008378A1"/>
    <w:rsid w:val="008378F6"/>
    <w:rsid w:val="00840555"/>
    <w:rsid w:val="00840F19"/>
    <w:rsid w:val="00841418"/>
    <w:rsid w:val="0084144A"/>
    <w:rsid w:val="00842762"/>
    <w:rsid w:val="008427D0"/>
    <w:rsid w:val="008427D6"/>
    <w:rsid w:val="00842964"/>
    <w:rsid w:val="00843354"/>
    <w:rsid w:val="008435BA"/>
    <w:rsid w:val="00843B45"/>
    <w:rsid w:val="00843CC0"/>
    <w:rsid w:val="0084403C"/>
    <w:rsid w:val="00844093"/>
    <w:rsid w:val="0084448A"/>
    <w:rsid w:val="0084456D"/>
    <w:rsid w:val="00844739"/>
    <w:rsid w:val="00844965"/>
    <w:rsid w:val="00844C79"/>
    <w:rsid w:val="008450D1"/>
    <w:rsid w:val="008453CE"/>
    <w:rsid w:val="00845751"/>
    <w:rsid w:val="00845871"/>
    <w:rsid w:val="00845AE8"/>
    <w:rsid w:val="00845D18"/>
    <w:rsid w:val="008463A8"/>
    <w:rsid w:val="00847083"/>
    <w:rsid w:val="00847343"/>
    <w:rsid w:val="0084753E"/>
    <w:rsid w:val="00847560"/>
    <w:rsid w:val="00847C80"/>
    <w:rsid w:val="00850658"/>
    <w:rsid w:val="00850745"/>
    <w:rsid w:val="0085112B"/>
    <w:rsid w:val="008514E9"/>
    <w:rsid w:val="00851895"/>
    <w:rsid w:val="00851A48"/>
    <w:rsid w:val="00851AD5"/>
    <w:rsid w:val="00851B13"/>
    <w:rsid w:val="00852EBB"/>
    <w:rsid w:val="008530AD"/>
    <w:rsid w:val="008537FB"/>
    <w:rsid w:val="00853B53"/>
    <w:rsid w:val="00854649"/>
    <w:rsid w:val="00854898"/>
    <w:rsid w:val="00854E3F"/>
    <w:rsid w:val="00855B72"/>
    <w:rsid w:val="00855CBB"/>
    <w:rsid w:val="008562EC"/>
    <w:rsid w:val="008562F8"/>
    <w:rsid w:val="00856602"/>
    <w:rsid w:val="0085664B"/>
    <w:rsid w:val="008566ED"/>
    <w:rsid w:val="00856AE8"/>
    <w:rsid w:val="0085747B"/>
    <w:rsid w:val="008576C0"/>
    <w:rsid w:val="00857798"/>
    <w:rsid w:val="0085780E"/>
    <w:rsid w:val="008579F4"/>
    <w:rsid w:val="00857B5F"/>
    <w:rsid w:val="00857EFE"/>
    <w:rsid w:val="00860100"/>
    <w:rsid w:val="00860617"/>
    <w:rsid w:val="0086129D"/>
    <w:rsid w:val="00861C88"/>
    <w:rsid w:val="00862859"/>
    <w:rsid w:val="00862882"/>
    <w:rsid w:val="008629AD"/>
    <w:rsid w:val="008629D3"/>
    <w:rsid w:val="00863C1E"/>
    <w:rsid w:val="00863DED"/>
    <w:rsid w:val="00864484"/>
    <w:rsid w:val="008647DB"/>
    <w:rsid w:val="008649D9"/>
    <w:rsid w:val="00864ACB"/>
    <w:rsid w:val="008657D3"/>
    <w:rsid w:val="008659C8"/>
    <w:rsid w:val="00865B2A"/>
    <w:rsid w:val="00865E8E"/>
    <w:rsid w:val="00865FCE"/>
    <w:rsid w:val="0086611B"/>
    <w:rsid w:val="008661F3"/>
    <w:rsid w:val="00866789"/>
    <w:rsid w:val="00866B2D"/>
    <w:rsid w:val="00866CE2"/>
    <w:rsid w:val="00866F78"/>
    <w:rsid w:val="00867110"/>
    <w:rsid w:val="0086765C"/>
    <w:rsid w:val="008678A2"/>
    <w:rsid w:val="00867DFD"/>
    <w:rsid w:val="008702D5"/>
    <w:rsid w:val="0087043A"/>
    <w:rsid w:val="0087132D"/>
    <w:rsid w:val="00871592"/>
    <w:rsid w:val="00872291"/>
    <w:rsid w:val="008724E7"/>
    <w:rsid w:val="0087251A"/>
    <w:rsid w:val="00872546"/>
    <w:rsid w:val="00872C4D"/>
    <w:rsid w:val="008731D4"/>
    <w:rsid w:val="00873493"/>
    <w:rsid w:val="008735B4"/>
    <w:rsid w:val="0087389E"/>
    <w:rsid w:val="00873993"/>
    <w:rsid w:val="00874009"/>
    <w:rsid w:val="008741AF"/>
    <w:rsid w:val="00874484"/>
    <w:rsid w:val="00874AFD"/>
    <w:rsid w:val="00874EA8"/>
    <w:rsid w:val="00874ED0"/>
    <w:rsid w:val="0087509C"/>
    <w:rsid w:val="00875B50"/>
    <w:rsid w:val="00875C47"/>
    <w:rsid w:val="00875D54"/>
    <w:rsid w:val="00875F1E"/>
    <w:rsid w:val="008765F6"/>
    <w:rsid w:val="00876A73"/>
    <w:rsid w:val="00877142"/>
    <w:rsid w:val="008779B5"/>
    <w:rsid w:val="00877A5B"/>
    <w:rsid w:val="008805EC"/>
    <w:rsid w:val="00880604"/>
    <w:rsid w:val="00880723"/>
    <w:rsid w:val="0088099A"/>
    <w:rsid w:val="00880BB0"/>
    <w:rsid w:val="00880CFF"/>
    <w:rsid w:val="00881179"/>
    <w:rsid w:val="008817FA"/>
    <w:rsid w:val="008818A8"/>
    <w:rsid w:val="0088191E"/>
    <w:rsid w:val="00882FA8"/>
    <w:rsid w:val="008833DB"/>
    <w:rsid w:val="00883A1A"/>
    <w:rsid w:val="00883EDC"/>
    <w:rsid w:val="00884028"/>
    <w:rsid w:val="00884093"/>
    <w:rsid w:val="00885193"/>
    <w:rsid w:val="0088531E"/>
    <w:rsid w:val="00885667"/>
    <w:rsid w:val="00885900"/>
    <w:rsid w:val="00885B16"/>
    <w:rsid w:val="00886095"/>
    <w:rsid w:val="008867D9"/>
    <w:rsid w:val="00886AC3"/>
    <w:rsid w:val="00886EA3"/>
    <w:rsid w:val="00887282"/>
    <w:rsid w:val="00887817"/>
    <w:rsid w:val="00887BC1"/>
    <w:rsid w:val="00887D23"/>
    <w:rsid w:val="00887D55"/>
    <w:rsid w:val="00887DE9"/>
    <w:rsid w:val="00887F5E"/>
    <w:rsid w:val="00890356"/>
    <w:rsid w:val="00890718"/>
    <w:rsid w:val="00891259"/>
    <w:rsid w:val="008915C6"/>
    <w:rsid w:val="00891DA2"/>
    <w:rsid w:val="00892165"/>
    <w:rsid w:val="00892B7A"/>
    <w:rsid w:val="00892E16"/>
    <w:rsid w:val="0089362B"/>
    <w:rsid w:val="00893635"/>
    <w:rsid w:val="0089369D"/>
    <w:rsid w:val="00893700"/>
    <w:rsid w:val="00893BA8"/>
    <w:rsid w:val="00893E03"/>
    <w:rsid w:val="00893F65"/>
    <w:rsid w:val="00893FBA"/>
    <w:rsid w:val="0089412D"/>
    <w:rsid w:val="00894247"/>
    <w:rsid w:val="008944D8"/>
    <w:rsid w:val="00894A46"/>
    <w:rsid w:val="00894A99"/>
    <w:rsid w:val="00894D98"/>
    <w:rsid w:val="00895B27"/>
    <w:rsid w:val="00895DAB"/>
    <w:rsid w:val="00895E36"/>
    <w:rsid w:val="00896882"/>
    <w:rsid w:val="00896951"/>
    <w:rsid w:val="00897484"/>
    <w:rsid w:val="0089757E"/>
    <w:rsid w:val="00897C5E"/>
    <w:rsid w:val="008A01E9"/>
    <w:rsid w:val="008A08D6"/>
    <w:rsid w:val="008A0E6B"/>
    <w:rsid w:val="008A0EB6"/>
    <w:rsid w:val="008A0F8F"/>
    <w:rsid w:val="008A1726"/>
    <w:rsid w:val="008A17BB"/>
    <w:rsid w:val="008A1C7B"/>
    <w:rsid w:val="008A1E79"/>
    <w:rsid w:val="008A2015"/>
    <w:rsid w:val="008A20E7"/>
    <w:rsid w:val="008A2C23"/>
    <w:rsid w:val="008A3273"/>
    <w:rsid w:val="008A342A"/>
    <w:rsid w:val="008A36A3"/>
    <w:rsid w:val="008A373D"/>
    <w:rsid w:val="008A3741"/>
    <w:rsid w:val="008A3978"/>
    <w:rsid w:val="008A3A39"/>
    <w:rsid w:val="008A3A6F"/>
    <w:rsid w:val="008A3C33"/>
    <w:rsid w:val="008A3EF1"/>
    <w:rsid w:val="008A418B"/>
    <w:rsid w:val="008A422A"/>
    <w:rsid w:val="008A452F"/>
    <w:rsid w:val="008A4D7A"/>
    <w:rsid w:val="008A4E51"/>
    <w:rsid w:val="008A557A"/>
    <w:rsid w:val="008A5590"/>
    <w:rsid w:val="008A57A5"/>
    <w:rsid w:val="008A5A32"/>
    <w:rsid w:val="008A6073"/>
    <w:rsid w:val="008A64DD"/>
    <w:rsid w:val="008A651D"/>
    <w:rsid w:val="008A656A"/>
    <w:rsid w:val="008A67D0"/>
    <w:rsid w:val="008A6906"/>
    <w:rsid w:val="008A6940"/>
    <w:rsid w:val="008A6B72"/>
    <w:rsid w:val="008A7145"/>
    <w:rsid w:val="008A73B4"/>
    <w:rsid w:val="008A73D4"/>
    <w:rsid w:val="008A758C"/>
    <w:rsid w:val="008A7768"/>
    <w:rsid w:val="008A79BC"/>
    <w:rsid w:val="008A7BD1"/>
    <w:rsid w:val="008B01E8"/>
    <w:rsid w:val="008B041F"/>
    <w:rsid w:val="008B0BA2"/>
    <w:rsid w:val="008B0BDE"/>
    <w:rsid w:val="008B14C7"/>
    <w:rsid w:val="008B155A"/>
    <w:rsid w:val="008B1765"/>
    <w:rsid w:val="008B27A9"/>
    <w:rsid w:val="008B2834"/>
    <w:rsid w:val="008B28E6"/>
    <w:rsid w:val="008B291E"/>
    <w:rsid w:val="008B343D"/>
    <w:rsid w:val="008B34AD"/>
    <w:rsid w:val="008B43BC"/>
    <w:rsid w:val="008B44E0"/>
    <w:rsid w:val="008B4753"/>
    <w:rsid w:val="008B4775"/>
    <w:rsid w:val="008B479B"/>
    <w:rsid w:val="008B4994"/>
    <w:rsid w:val="008B4AB2"/>
    <w:rsid w:val="008B4B3A"/>
    <w:rsid w:val="008B5A6D"/>
    <w:rsid w:val="008B5BDA"/>
    <w:rsid w:val="008B5ECF"/>
    <w:rsid w:val="008B6169"/>
    <w:rsid w:val="008B66FA"/>
    <w:rsid w:val="008B6BBE"/>
    <w:rsid w:val="008B7050"/>
    <w:rsid w:val="008B7235"/>
    <w:rsid w:val="008B7237"/>
    <w:rsid w:val="008B738A"/>
    <w:rsid w:val="008B73B5"/>
    <w:rsid w:val="008B74FB"/>
    <w:rsid w:val="008B7CB3"/>
    <w:rsid w:val="008B7DED"/>
    <w:rsid w:val="008B7FF0"/>
    <w:rsid w:val="008C0359"/>
    <w:rsid w:val="008C111D"/>
    <w:rsid w:val="008C24C2"/>
    <w:rsid w:val="008C290E"/>
    <w:rsid w:val="008C2DC3"/>
    <w:rsid w:val="008C36D7"/>
    <w:rsid w:val="008C3E5C"/>
    <w:rsid w:val="008C41AE"/>
    <w:rsid w:val="008C4799"/>
    <w:rsid w:val="008C4940"/>
    <w:rsid w:val="008C549B"/>
    <w:rsid w:val="008C5B5F"/>
    <w:rsid w:val="008C5C15"/>
    <w:rsid w:val="008C60D8"/>
    <w:rsid w:val="008C6498"/>
    <w:rsid w:val="008C6A84"/>
    <w:rsid w:val="008C6BA6"/>
    <w:rsid w:val="008C6D17"/>
    <w:rsid w:val="008C7930"/>
    <w:rsid w:val="008D02EB"/>
    <w:rsid w:val="008D047D"/>
    <w:rsid w:val="008D0E58"/>
    <w:rsid w:val="008D0EA0"/>
    <w:rsid w:val="008D0F79"/>
    <w:rsid w:val="008D1110"/>
    <w:rsid w:val="008D125D"/>
    <w:rsid w:val="008D138A"/>
    <w:rsid w:val="008D2428"/>
    <w:rsid w:val="008D265A"/>
    <w:rsid w:val="008D2AEC"/>
    <w:rsid w:val="008D2BDB"/>
    <w:rsid w:val="008D315C"/>
    <w:rsid w:val="008D3215"/>
    <w:rsid w:val="008D3392"/>
    <w:rsid w:val="008D3B32"/>
    <w:rsid w:val="008D41F3"/>
    <w:rsid w:val="008D43B2"/>
    <w:rsid w:val="008D45D3"/>
    <w:rsid w:val="008D4709"/>
    <w:rsid w:val="008D4BDB"/>
    <w:rsid w:val="008D5420"/>
    <w:rsid w:val="008D54C2"/>
    <w:rsid w:val="008D5678"/>
    <w:rsid w:val="008D5AC7"/>
    <w:rsid w:val="008D5B4C"/>
    <w:rsid w:val="008D6239"/>
    <w:rsid w:val="008D64A2"/>
    <w:rsid w:val="008D6801"/>
    <w:rsid w:val="008D6F6B"/>
    <w:rsid w:val="008D71D1"/>
    <w:rsid w:val="008D7317"/>
    <w:rsid w:val="008D77F0"/>
    <w:rsid w:val="008D79B5"/>
    <w:rsid w:val="008E0600"/>
    <w:rsid w:val="008E0895"/>
    <w:rsid w:val="008E0BFD"/>
    <w:rsid w:val="008E114C"/>
    <w:rsid w:val="008E1834"/>
    <w:rsid w:val="008E1ECE"/>
    <w:rsid w:val="008E251B"/>
    <w:rsid w:val="008E25B5"/>
    <w:rsid w:val="008E2A4B"/>
    <w:rsid w:val="008E2DCA"/>
    <w:rsid w:val="008E2E27"/>
    <w:rsid w:val="008E3ADA"/>
    <w:rsid w:val="008E3C25"/>
    <w:rsid w:val="008E3EB6"/>
    <w:rsid w:val="008E4566"/>
    <w:rsid w:val="008E47F8"/>
    <w:rsid w:val="008E49E5"/>
    <w:rsid w:val="008E4B82"/>
    <w:rsid w:val="008E4F7C"/>
    <w:rsid w:val="008E548E"/>
    <w:rsid w:val="008E5756"/>
    <w:rsid w:val="008E5EF7"/>
    <w:rsid w:val="008E5F4F"/>
    <w:rsid w:val="008E6183"/>
    <w:rsid w:val="008E6B65"/>
    <w:rsid w:val="008E6DD3"/>
    <w:rsid w:val="008E753B"/>
    <w:rsid w:val="008F040E"/>
    <w:rsid w:val="008F050B"/>
    <w:rsid w:val="008F0609"/>
    <w:rsid w:val="008F0A67"/>
    <w:rsid w:val="008F0E13"/>
    <w:rsid w:val="008F1186"/>
    <w:rsid w:val="008F140A"/>
    <w:rsid w:val="008F2061"/>
    <w:rsid w:val="008F2561"/>
    <w:rsid w:val="008F2738"/>
    <w:rsid w:val="008F28B7"/>
    <w:rsid w:val="008F2BB7"/>
    <w:rsid w:val="008F2C88"/>
    <w:rsid w:val="008F3099"/>
    <w:rsid w:val="008F347C"/>
    <w:rsid w:val="008F37CB"/>
    <w:rsid w:val="008F3B19"/>
    <w:rsid w:val="008F3F47"/>
    <w:rsid w:val="008F42CF"/>
    <w:rsid w:val="008F4686"/>
    <w:rsid w:val="008F485C"/>
    <w:rsid w:val="008F5398"/>
    <w:rsid w:val="008F54E8"/>
    <w:rsid w:val="008F55A4"/>
    <w:rsid w:val="008F58FC"/>
    <w:rsid w:val="008F6674"/>
    <w:rsid w:val="008F6749"/>
    <w:rsid w:val="008F690B"/>
    <w:rsid w:val="008F6936"/>
    <w:rsid w:val="008F6B23"/>
    <w:rsid w:val="008F6D52"/>
    <w:rsid w:val="008F743A"/>
    <w:rsid w:val="008F7AD7"/>
    <w:rsid w:val="008F7B7C"/>
    <w:rsid w:val="008F7BFC"/>
    <w:rsid w:val="008F7CA1"/>
    <w:rsid w:val="008F7F68"/>
    <w:rsid w:val="009006FA"/>
    <w:rsid w:val="00900789"/>
    <w:rsid w:val="0090082B"/>
    <w:rsid w:val="009009A8"/>
    <w:rsid w:val="00900EC5"/>
    <w:rsid w:val="00901CBF"/>
    <w:rsid w:val="00902212"/>
    <w:rsid w:val="009023DA"/>
    <w:rsid w:val="0090288C"/>
    <w:rsid w:val="00902D7D"/>
    <w:rsid w:val="0090358A"/>
    <w:rsid w:val="0090367B"/>
    <w:rsid w:val="009036B7"/>
    <w:rsid w:val="00903C24"/>
    <w:rsid w:val="00903D85"/>
    <w:rsid w:val="00903FF5"/>
    <w:rsid w:val="00904326"/>
    <w:rsid w:val="009047DA"/>
    <w:rsid w:val="0090523A"/>
    <w:rsid w:val="00905348"/>
    <w:rsid w:val="0090567F"/>
    <w:rsid w:val="009059A1"/>
    <w:rsid w:val="00905AA5"/>
    <w:rsid w:val="00906402"/>
    <w:rsid w:val="009064A3"/>
    <w:rsid w:val="009064FB"/>
    <w:rsid w:val="00906A3D"/>
    <w:rsid w:val="00906C3F"/>
    <w:rsid w:val="00906D64"/>
    <w:rsid w:val="0090716A"/>
    <w:rsid w:val="0090785D"/>
    <w:rsid w:val="00907AB5"/>
    <w:rsid w:val="00907BE0"/>
    <w:rsid w:val="00907C06"/>
    <w:rsid w:val="00907F57"/>
    <w:rsid w:val="00910393"/>
    <w:rsid w:val="009104D8"/>
    <w:rsid w:val="0091099C"/>
    <w:rsid w:val="00910E12"/>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6B3C"/>
    <w:rsid w:val="00916D05"/>
    <w:rsid w:val="00917209"/>
    <w:rsid w:val="0091752B"/>
    <w:rsid w:val="00917828"/>
    <w:rsid w:val="00917AF5"/>
    <w:rsid w:val="00917DA9"/>
    <w:rsid w:val="00920779"/>
    <w:rsid w:val="009207B8"/>
    <w:rsid w:val="00920D4D"/>
    <w:rsid w:val="00921220"/>
    <w:rsid w:val="009212CF"/>
    <w:rsid w:val="00921414"/>
    <w:rsid w:val="00921810"/>
    <w:rsid w:val="00921A49"/>
    <w:rsid w:val="00921D25"/>
    <w:rsid w:val="009221CA"/>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12F"/>
    <w:rsid w:val="00925256"/>
    <w:rsid w:val="00925ACB"/>
    <w:rsid w:val="00926789"/>
    <w:rsid w:val="009268C1"/>
    <w:rsid w:val="0092712A"/>
    <w:rsid w:val="009277DE"/>
    <w:rsid w:val="00930328"/>
    <w:rsid w:val="00930558"/>
    <w:rsid w:val="0093059B"/>
    <w:rsid w:val="00930AD9"/>
    <w:rsid w:val="00930C55"/>
    <w:rsid w:val="00930D69"/>
    <w:rsid w:val="00931106"/>
    <w:rsid w:val="00931120"/>
    <w:rsid w:val="0093114E"/>
    <w:rsid w:val="009311D6"/>
    <w:rsid w:val="00931222"/>
    <w:rsid w:val="0093139B"/>
    <w:rsid w:val="0093157E"/>
    <w:rsid w:val="0093187B"/>
    <w:rsid w:val="00931C00"/>
    <w:rsid w:val="00931ED6"/>
    <w:rsid w:val="00932068"/>
    <w:rsid w:val="009321B0"/>
    <w:rsid w:val="009324AA"/>
    <w:rsid w:val="009325F5"/>
    <w:rsid w:val="00932622"/>
    <w:rsid w:val="009329A8"/>
    <w:rsid w:val="00932A97"/>
    <w:rsid w:val="00933C82"/>
    <w:rsid w:val="00933E13"/>
    <w:rsid w:val="00933EED"/>
    <w:rsid w:val="009347F3"/>
    <w:rsid w:val="00934EC0"/>
    <w:rsid w:val="009355A7"/>
    <w:rsid w:val="009360A8"/>
    <w:rsid w:val="00936502"/>
    <w:rsid w:val="0093694B"/>
    <w:rsid w:val="009369F9"/>
    <w:rsid w:val="0093723B"/>
    <w:rsid w:val="009376A2"/>
    <w:rsid w:val="00937737"/>
    <w:rsid w:val="00937BD5"/>
    <w:rsid w:val="009406E4"/>
    <w:rsid w:val="0094075B"/>
    <w:rsid w:val="0094092E"/>
    <w:rsid w:val="00940966"/>
    <w:rsid w:val="00940CA3"/>
    <w:rsid w:val="00941372"/>
    <w:rsid w:val="00941DA1"/>
    <w:rsid w:val="009421BD"/>
    <w:rsid w:val="009421E6"/>
    <w:rsid w:val="00942629"/>
    <w:rsid w:val="00942D69"/>
    <w:rsid w:val="00943240"/>
    <w:rsid w:val="00943ED1"/>
    <w:rsid w:val="00943F29"/>
    <w:rsid w:val="00943F52"/>
    <w:rsid w:val="009442EA"/>
    <w:rsid w:val="0094437C"/>
    <w:rsid w:val="00944464"/>
    <w:rsid w:val="0094486E"/>
    <w:rsid w:val="0094498F"/>
    <w:rsid w:val="00944BD7"/>
    <w:rsid w:val="009452D9"/>
    <w:rsid w:val="009457A8"/>
    <w:rsid w:val="00945987"/>
    <w:rsid w:val="0094598D"/>
    <w:rsid w:val="00946073"/>
    <w:rsid w:val="00946454"/>
    <w:rsid w:val="00946CC9"/>
    <w:rsid w:val="009471B3"/>
    <w:rsid w:val="00947588"/>
    <w:rsid w:val="00947C1C"/>
    <w:rsid w:val="00947F56"/>
    <w:rsid w:val="00950149"/>
    <w:rsid w:val="009502EF"/>
    <w:rsid w:val="009503E1"/>
    <w:rsid w:val="009504D7"/>
    <w:rsid w:val="00950728"/>
    <w:rsid w:val="00950EDA"/>
    <w:rsid w:val="009511E0"/>
    <w:rsid w:val="009511E1"/>
    <w:rsid w:val="00951A91"/>
    <w:rsid w:val="00951C52"/>
    <w:rsid w:val="00951F8D"/>
    <w:rsid w:val="0095226F"/>
    <w:rsid w:val="009522B0"/>
    <w:rsid w:val="009523B5"/>
    <w:rsid w:val="0095247A"/>
    <w:rsid w:val="0095254C"/>
    <w:rsid w:val="009526AF"/>
    <w:rsid w:val="00952980"/>
    <w:rsid w:val="0095308A"/>
    <w:rsid w:val="0095390B"/>
    <w:rsid w:val="00953A30"/>
    <w:rsid w:val="009542D6"/>
    <w:rsid w:val="009545A6"/>
    <w:rsid w:val="009547CA"/>
    <w:rsid w:val="009550D0"/>
    <w:rsid w:val="0095571D"/>
    <w:rsid w:val="00955968"/>
    <w:rsid w:val="00955994"/>
    <w:rsid w:val="00955CF3"/>
    <w:rsid w:val="00955E93"/>
    <w:rsid w:val="00956285"/>
    <w:rsid w:val="00956720"/>
    <w:rsid w:val="009568E3"/>
    <w:rsid w:val="00956C76"/>
    <w:rsid w:val="00956E81"/>
    <w:rsid w:val="00956FA5"/>
    <w:rsid w:val="00957001"/>
    <w:rsid w:val="00957279"/>
    <w:rsid w:val="00957398"/>
    <w:rsid w:val="00957879"/>
    <w:rsid w:val="0095797A"/>
    <w:rsid w:val="009579C9"/>
    <w:rsid w:val="00957F8D"/>
    <w:rsid w:val="00960123"/>
    <w:rsid w:val="0096022D"/>
    <w:rsid w:val="00960417"/>
    <w:rsid w:val="0096095F"/>
    <w:rsid w:val="009613F7"/>
    <w:rsid w:val="00961451"/>
    <w:rsid w:val="00961809"/>
    <w:rsid w:val="00961B6E"/>
    <w:rsid w:val="0096220E"/>
    <w:rsid w:val="009624AA"/>
    <w:rsid w:val="009624D8"/>
    <w:rsid w:val="009625F5"/>
    <w:rsid w:val="0096299A"/>
    <w:rsid w:val="009629A3"/>
    <w:rsid w:val="00962B7C"/>
    <w:rsid w:val="00962CD5"/>
    <w:rsid w:val="00963122"/>
    <w:rsid w:val="009631E8"/>
    <w:rsid w:val="00963589"/>
    <w:rsid w:val="00963A9F"/>
    <w:rsid w:val="009644BF"/>
    <w:rsid w:val="009656B8"/>
    <w:rsid w:val="00965AF7"/>
    <w:rsid w:val="00965C82"/>
    <w:rsid w:val="009662C3"/>
    <w:rsid w:val="00966699"/>
    <w:rsid w:val="00966DBD"/>
    <w:rsid w:val="00966DE5"/>
    <w:rsid w:val="00966E08"/>
    <w:rsid w:val="00966F7E"/>
    <w:rsid w:val="009677EE"/>
    <w:rsid w:val="0096783C"/>
    <w:rsid w:val="009705DF"/>
    <w:rsid w:val="009709C6"/>
    <w:rsid w:val="00970A2B"/>
    <w:rsid w:val="00970A52"/>
    <w:rsid w:val="00970A57"/>
    <w:rsid w:val="00970DC8"/>
    <w:rsid w:val="0097117D"/>
    <w:rsid w:val="009712A5"/>
    <w:rsid w:val="009717F1"/>
    <w:rsid w:val="00971CC4"/>
    <w:rsid w:val="00971D96"/>
    <w:rsid w:val="00971F0A"/>
    <w:rsid w:val="00971FEE"/>
    <w:rsid w:val="00972076"/>
    <w:rsid w:val="009726CB"/>
    <w:rsid w:val="00972908"/>
    <w:rsid w:val="00972CFA"/>
    <w:rsid w:val="009737F2"/>
    <w:rsid w:val="00973A76"/>
    <w:rsid w:val="00973F5F"/>
    <w:rsid w:val="0097401A"/>
    <w:rsid w:val="009740D9"/>
    <w:rsid w:val="00974346"/>
    <w:rsid w:val="009746CC"/>
    <w:rsid w:val="0097498E"/>
    <w:rsid w:val="00974D9C"/>
    <w:rsid w:val="00975109"/>
    <w:rsid w:val="0097510D"/>
    <w:rsid w:val="009758D5"/>
    <w:rsid w:val="00975AB7"/>
    <w:rsid w:val="00975FAE"/>
    <w:rsid w:val="009761DB"/>
    <w:rsid w:val="00976866"/>
    <w:rsid w:val="00976886"/>
    <w:rsid w:val="00976A8E"/>
    <w:rsid w:val="00976E30"/>
    <w:rsid w:val="00977940"/>
    <w:rsid w:val="00977FB7"/>
    <w:rsid w:val="009807DE"/>
    <w:rsid w:val="00980F03"/>
    <w:rsid w:val="0098113F"/>
    <w:rsid w:val="009813C1"/>
    <w:rsid w:val="00981550"/>
    <w:rsid w:val="009818D7"/>
    <w:rsid w:val="00981CE8"/>
    <w:rsid w:val="00981E96"/>
    <w:rsid w:val="0098213C"/>
    <w:rsid w:val="00982739"/>
    <w:rsid w:val="009827C0"/>
    <w:rsid w:val="00983656"/>
    <w:rsid w:val="00983671"/>
    <w:rsid w:val="00983F71"/>
    <w:rsid w:val="009847B1"/>
    <w:rsid w:val="009847F9"/>
    <w:rsid w:val="00984F74"/>
    <w:rsid w:val="009851FD"/>
    <w:rsid w:val="00985A5D"/>
    <w:rsid w:val="00985C32"/>
    <w:rsid w:val="009864C2"/>
    <w:rsid w:val="009866D2"/>
    <w:rsid w:val="00987035"/>
    <w:rsid w:val="00987529"/>
    <w:rsid w:val="00987881"/>
    <w:rsid w:val="00987935"/>
    <w:rsid w:val="00987A50"/>
    <w:rsid w:val="00987EF1"/>
    <w:rsid w:val="0099007C"/>
    <w:rsid w:val="00990099"/>
    <w:rsid w:val="00991268"/>
    <w:rsid w:val="00991509"/>
    <w:rsid w:val="009917AF"/>
    <w:rsid w:val="009919DC"/>
    <w:rsid w:val="00992B56"/>
    <w:rsid w:val="00992CE5"/>
    <w:rsid w:val="0099329F"/>
    <w:rsid w:val="0099377C"/>
    <w:rsid w:val="009940F9"/>
    <w:rsid w:val="0099453C"/>
    <w:rsid w:val="00994DEB"/>
    <w:rsid w:val="00995369"/>
    <w:rsid w:val="00995433"/>
    <w:rsid w:val="0099545D"/>
    <w:rsid w:val="00995523"/>
    <w:rsid w:val="00995BD2"/>
    <w:rsid w:val="0099667A"/>
    <w:rsid w:val="00996C43"/>
    <w:rsid w:val="00996C80"/>
    <w:rsid w:val="0099764E"/>
    <w:rsid w:val="009A0C84"/>
    <w:rsid w:val="009A0E9C"/>
    <w:rsid w:val="009A108C"/>
    <w:rsid w:val="009A1113"/>
    <w:rsid w:val="009A17B4"/>
    <w:rsid w:val="009A17C3"/>
    <w:rsid w:val="009A1849"/>
    <w:rsid w:val="009A1944"/>
    <w:rsid w:val="009A1EC6"/>
    <w:rsid w:val="009A20A6"/>
    <w:rsid w:val="009A2174"/>
    <w:rsid w:val="009A221E"/>
    <w:rsid w:val="009A27C1"/>
    <w:rsid w:val="009A2881"/>
    <w:rsid w:val="009A2939"/>
    <w:rsid w:val="009A2D42"/>
    <w:rsid w:val="009A311D"/>
    <w:rsid w:val="009A329F"/>
    <w:rsid w:val="009A33CC"/>
    <w:rsid w:val="009A367A"/>
    <w:rsid w:val="009A3DB8"/>
    <w:rsid w:val="009A3FD2"/>
    <w:rsid w:val="009A4614"/>
    <w:rsid w:val="009A5069"/>
    <w:rsid w:val="009A5287"/>
    <w:rsid w:val="009A563A"/>
    <w:rsid w:val="009A56FB"/>
    <w:rsid w:val="009A5B5F"/>
    <w:rsid w:val="009A64A5"/>
    <w:rsid w:val="009A6639"/>
    <w:rsid w:val="009A6776"/>
    <w:rsid w:val="009A6A52"/>
    <w:rsid w:val="009A6F22"/>
    <w:rsid w:val="009A7209"/>
    <w:rsid w:val="009A72EF"/>
    <w:rsid w:val="009A732A"/>
    <w:rsid w:val="009A759C"/>
    <w:rsid w:val="009A7703"/>
    <w:rsid w:val="009A7CBA"/>
    <w:rsid w:val="009A7D8A"/>
    <w:rsid w:val="009B0097"/>
    <w:rsid w:val="009B0665"/>
    <w:rsid w:val="009B13C7"/>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5F90"/>
    <w:rsid w:val="009B6BE2"/>
    <w:rsid w:val="009B6D0B"/>
    <w:rsid w:val="009B6D53"/>
    <w:rsid w:val="009B6E54"/>
    <w:rsid w:val="009B747F"/>
    <w:rsid w:val="009B79EB"/>
    <w:rsid w:val="009C00E0"/>
    <w:rsid w:val="009C03A4"/>
    <w:rsid w:val="009C0538"/>
    <w:rsid w:val="009C0963"/>
    <w:rsid w:val="009C0E27"/>
    <w:rsid w:val="009C0EDA"/>
    <w:rsid w:val="009C0F06"/>
    <w:rsid w:val="009C1001"/>
    <w:rsid w:val="009C1357"/>
    <w:rsid w:val="009C1B8D"/>
    <w:rsid w:val="009C1FDD"/>
    <w:rsid w:val="009C2203"/>
    <w:rsid w:val="009C24C1"/>
    <w:rsid w:val="009C25E2"/>
    <w:rsid w:val="009C2617"/>
    <w:rsid w:val="009C27C8"/>
    <w:rsid w:val="009C2838"/>
    <w:rsid w:val="009C2E33"/>
    <w:rsid w:val="009C3B05"/>
    <w:rsid w:val="009C41C6"/>
    <w:rsid w:val="009C455F"/>
    <w:rsid w:val="009C4C99"/>
    <w:rsid w:val="009C5163"/>
    <w:rsid w:val="009C5176"/>
    <w:rsid w:val="009C5595"/>
    <w:rsid w:val="009C569A"/>
    <w:rsid w:val="009C5D9A"/>
    <w:rsid w:val="009C6BB2"/>
    <w:rsid w:val="009C79DA"/>
    <w:rsid w:val="009C7A52"/>
    <w:rsid w:val="009C7E88"/>
    <w:rsid w:val="009C7ED5"/>
    <w:rsid w:val="009D0150"/>
    <w:rsid w:val="009D02C0"/>
    <w:rsid w:val="009D03E9"/>
    <w:rsid w:val="009D1097"/>
    <w:rsid w:val="009D192B"/>
    <w:rsid w:val="009D1EE0"/>
    <w:rsid w:val="009D2AF0"/>
    <w:rsid w:val="009D2BED"/>
    <w:rsid w:val="009D2C27"/>
    <w:rsid w:val="009D2C3A"/>
    <w:rsid w:val="009D35C1"/>
    <w:rsid w:val="009D3E29"/>
    <w:rsid w:val="009D4030"/>
    <w:rsid w:val="009D41CA"/>
    <w:rsid w:val="009D44FC"/>
    <w:rsid w:val="009D48BA"/>
    <w:rsid w:val="009D4EA6"/>
    <w:rsid w:val="009D532B"/>
    <w:rsid w:val="009D56B3"/>
    <w:rsid w:val="009D56E1"/>
    <w:rsid w:val="009D5831"/>
    <w:rsid w:val="009D60E3"/>
    <w:rsid w:val="009D67EF"/>
    <w:rsid w:val="009D687C"/>
    <w:rsid w:val="009D6909"/>
    <w:rsid w:val="009D69C3"/>
    <w:rsid w:val="009D7665"/>
    <w:rsid w:val="009D766B"/>
    <w:rsid w:val="009D785A"/>
    <w:rsid w:val="009D79E8"/>
    <w:rsid w:val="009D7C79"/>
    <w:rsid w:val="009E01E4"/>
    <w:rsid w:val="009E088C"/>
    <w:rsid w:val="009E08EC"/>
    <w:rsid w:val="009E0A77"/>
    <w:rsid w:val="009E0D78"/>
    <w:rsid w:val="009E1087"/>
    <w:rsid w:val="009E151E"/>
    <w:rsid w:val="009E155C"/>
    <w:rsid w:val="009E20BB"/>
    <w:rsid w:val="009E2350"/>
    <w:rsid w:val="009E2862"/>
    <w:rsid w:val="009E2919"/>
    <w:rsid w:val="009E2970"/>
    <w:rsid w:val="009E2D61"/>
    <w:rsid w:val="009E37AE"/>
    <w:rsid w:val="009E3967"/>
    <w:rsid w:val="009E42F5"/>
    <w:rsid w:val="009E4400"/>
    <w:rsid w:val="009E445B"/>
    <w:rsid w:val="009E4727"/>
    <w:rsid w:val="009E48B9"/>
    <w:rsid w:val="009E4ECB"/>
    <w:rsid w:val="009E4EF8"/>
    <w:rsid w:val="009E4FA5"/>
    <w:rsid w:val="009E51FD"/>
    <w:rsid w:val="009E547B"/>
    <w:rsid w:val="009E5CB1"/>
    <w:rsid w:val="009E6002"/>
    <w:rsid w:val="009E6461"/>
    <w:rsid w:val="009E64E4"/>
    <w:rsid w:val="009E66C4"/>
    <w:rsid w:val="009E7041"/>
    <w:rsid w:val="009E774B"/>
    <w:rsid w:val="009E7BD1"/>
    <w:rsid w:val="009E7BF6"/>
    <w:rsid w:val="009F0367"/>
    <w:rsid w:val="009F0EBE"/>
    <w:rsid w:val="009F0F38"/>
    <w:rsid w:val="009F15CB"/>
    <w:rsid w:val="009F17E6"/>
    <w:rsid w:val="009F1992"/>
    <w:rsid w:val="009F1A49"/>
    <w:rsid w:val="009F23CF"/>
    <w:rsid w:val="009F2A93"/>
    <w:rsid w:val="009F2BCC"/>
    <w:rsid w:val="009F2DF6"/>
    <w:rsid w:val="009F2F98"/>
    <w:rsid w:val="009F324C"/>
    <w:rsid w:val="009F35A7"/>
    <w:rsid w:val="009F4266"/>
    <w:rsid w:val="009F457C"/>
    <w:rsid w:val="009F467D"/>
    <w:rsid w:val="009F4744"/>
    <w:rsid w:val="009F506A"/>
    <w:rsid w:val="009F51C7"/>
    <w:rsid w:val="009F51F9"/>
    <w:rsid w:val="009F5969"/>
    <w:rsid w:val="009F59E7"/>
    <w:rsid w:val="009F61D4"/>
    <w:rsid w:val="009F6203"/>
    <w:rsid w:val="009F6736"/>
    <w:rsid w:val="009F69C9"/>
    <w:rsid w:val="009F6A03"/>
    <w:rsid w:val="009F6D12"/>
    <w:rsid w:val="009F712C"/>
    <w:rsid w:val="009F72FF"/>
    <w:rsid w:val="009F734A"/>
    <w:rsid w:val="009F7557"/>
    <w:rsid w:val="009F76AC"/>
    <w:rsid w:val="009F7D44"/>
    <w:rsid w:val="009F7E6E"/>
    <w:rsid w:val="00A00055"/>
    <w:rsid w:val="00A00284"/>
    <w:rsid w:val="00A00B25"/>
    <w:rsid w:val="00A00EE5"/>
    <w:rsid w:val="00A01008"/>
    <w:rsid w:val="00A010D1"/>
    <w:rsid w:val="00A01AAB"/>
    <w:rsid w:val="00A01B38"/>
    <w:rsid w:val="00A01C69"/>
    <w:rsid w:val="00A01F96"/>
    <w:rsid w:val="00A01FB5"/>
    <w:rsid w:val="00A0203B"/>
    <w:rsid w:val="00A02315"/>
    <w:rsid w:val="00A02502"/>
    <w:rsid w:val="00A03361"/>
    <w:rsid w:val="00A037E0"/>
    <w:rsid w:val="00A03EF4"/>
    <w:rsid w:val="00A04409"/>
    <w:rsid w:val="00A04715"/>
    <w:rsid w:val="00A04EA4"/>
    <w:rsid w:val="00A04EAD"/>
    <w:rsid w:val="00A05258"/>
    <w:rsid w:val="00A0528A"/>
    <w:rsid w:val="00A05743"/>
    <w:rsid w:val="00A0583C"/>
    <w:rsid w:val="00A05F4D"/>
    <w:rsid w:val="00A06029"/>
    <w:rsid w:val="00A062C0"/>
    <w:rsid w:val="00A06B88"/>
    <w:rsid w:val="00A06DAC"/>
    <w:rsid w:val="00A0702F"/>
    <w:rsid w:val="00A0756A"/>
    <w:rsid w:val="00A075CB"/>
    <w:rsid w:val="00A0765D"/>
    <w:rsid w:val="00A07BF5"/>
    <w:rsid w:val="00A07EA2"/>
    <w:rsid w:val="00A1039D"/>
    <w:rsid w:val="00A104D4"/>
    <w:rsid w:val="00A11A74"/>
    <w:rsid w:val="00A11C87"/>
    <w:rsid w:val="00A11DC4"/>
    <w:rsid w:val="00A1238C"/>
    <w:rsid w:val="00A123E2"/>
    <w:rsid w:val="00A123F7"/>
    <w:rsid w:val="00A125D4"/>
    <w:rsid w:val="00A1289E"/>
    <w:rsid w:val="00A1335E"/>
    <w:rsid w:val="00A133D3"/>
    <w:rsid w:val="00A137CD"/>
    <w:rsid w:val="00A1436A"/>
    <w:rsid w:val="00A1452F"/>
    <w:rsid w:val="00A15225"/>
    <w:rsid w:val="00A15314"/>
    <w:rsid w:val="00A156B7"/>
    <w:rsid w:val="00A16277"/>
    <w:rsid w:val="00A1628C"/>
    <w:rsid w:val="00A1628F"/>
    <w:rsid w:val="00A164F6"/>
    <w:rsid w:val="00A16780"/>
    <w:rsid w:val="00A168B8"/>
    <w:rsid w:val="00A16BD0"/>
    <w:rsid w:val="00A16D04"/>
    <w:rsid w:val="00A16E6C"/>
    <w:rsid w:val="00A17387"/>
    <w:rsid w:val="00A17575"/>
    <w:rsid w:val="00A17AB4"/>
    <w:rsid w:val="00A17CEF"/>
    <w:rsid w:val="00A20705"/>
    <w:rsid w:val="00A20A52"/>
    <w:rsid w:val="00A21632"/>
    <w:rsid w:val="00A219A5"/>
    <w:rsid w:val="00A21CD6"/>
    <w:rsid w:val="00A22463"/>
    <w:rsid w:val="00A22566"/>
    <w:rsid w:val="00A23780"/>
    <w:rsid w:val="00A23A8D"/>
    <w:rsid w:val="00A2420E"/>
    <w:rsid w:val="00A2473A"/>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30044"/>
    <w:rsid w:val="00A30080"/>
    <w:rsid w:val="00A30143"/>
    <w:rsid w:val="00A3091E"/>
    <w:rsid w:val="00A30B5E"/>
    <w:rsid w:val="00A30F8D"/>
    <w:rsid w:val="00A31832"/>
    <w:rsid w:val="00A31EDC"/>
    <w:rsid w:val="00A32004"/>
    <w:rsid w:val="00A320F9"/>
    <w:rsid w:val="00A321CC"/>
    <w:rsid w:val="00A32853"/>
    <w:rsid w:val="00A32860"/>
    <w:rsid w:val="00A32897"/>
    <w:rsid w:val="00A32A56"/>
    <w:rsid w:val="00A32D83"/>
    <w:rsid w:val="00A32F8B"/>
    <w:rsid w:val="00A33981"/>
    <w:rsid w:val="00A33A73"/>
    <w:rsid w:val="00A33D72"/>
    <w:rsid w:val="00A3404E"/>
    <w:rsid w:val="00A340B8"/>
    <w:rsid w:val="00A341E5"/>
    <w:rsid w:val="00A348B7"/>
    <w:rsid w:val="00A3493E"/>
    <w:rsid w:val="00A34D9B"/>
    <w:rsid w:val="00A3512E"/>
    <w:rsid w:val="00A35798"/>
    <w:rsid w:val="00A35B65"/>
    <w:rsid w:val="00A36383"/>
    <w:rsid w:val="00A3652A"/>
    <w:rsid w:val="00A36896"/>
    <w:rsid w:val="00A36B99"/>
    <w:rsid w:val="00A36D63"/>
    <w:rsid w:val="00A37131"/>
    <w:rsid w:val="00A3759B"/>
    <w:rsid w:val="00A37625"/>
    <w:rsid w:val="00A3776B"/>
    <w:rsid w:val="00A37C6A"/>
    <w:rsid w:val="00A400DE"/>
    <w:rsid w:val="00A40140"/>
    <w:rsid w:val="00A4045B"/>
    <w:rsid w:val="00A40EB4"/>
    <w:rsid w:val="00A40FA7"/>
    <w:rsid w:val="00A411D6"/>
    <w:rsid w:val="00A41200"/>
    <w:rsid w:val="00A41221"/>
    <w:rsid w:val="00A4158B"/>
    <w:rsid w:val="00A416D9"/>
    <w:rsid w:val="00A41D73"/>
    <w:rsid w:val="00A42478"/>
    <w:rsid w:val="00A42E84"/>
    <w:rsid w:val="00A42EDC"/>
    <w:rsid w:val="00A43218"/>
    <w:rsid w:val="00A43439"/>
    <w:rsid w:val="00A43760"/>
    <w:rsid w:val="00A43D06"/>
    <w:rsid w:val="00A43E50"/>
    <w:rsid w:val="00A43EC5"/>
    <w:rsid w:val="00A43F0C"/>
    <w:rsid w:val="00A441B7"/>
    <w:rsid w:val="00A4441C"/>
    <w:rsid w:val="00A444DE"/>
    <w:rsid w:val="00A445B6"/>
    <w:rsid w:val="00A446F5"/>
    <w:rsid w:val="00A44827"/>
    <w:rsid w:val="00A44950"/>
    <w:rsid w:val="00A452EA"/>
    <w:rsid w:val="00A453C1"/>
    <w:rsid w:val="00A4630B"/>
    <w:rsid w:val="00A463F1"/>
    <w:rsid w:val="00A46FDA"/>
    <w:rsid w:val="00A47A01"/>
    <w:rsid w:val="00A47B30"/>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636"/>
    <w:rsid w:val="00A557B7"/>
    <w:rsid w:val="00A55985"/>
    <w:rsid w:val="00A55A34"/>
    <w:rsid w:val="00A55A6F"/>
    <w:rsid w:val="00A55AC7"/>
    <w:rsid w:val="00A563BC"/>
    <w:rsid w:val="00A56893"/>
    <w:rsid w:val="00A569EB"/>
    <w:rsid w:val="00A56CB4"/>
    <w:rsid w:val="00A570E0"/>
    <w:rsid w:val="00A572B9"/>
    <w:rsid w:val="00A5744F"/>
    <w:rsid w:val="00A577BA"/>
    <w:rsid w:val="00A57B63"/>
    <w:rsid w:val="00A57C9A"/>
    <w:rsid w:val="00A601B2"/>
    <w:rsid w:val="00A60208"/>
    <w:rsid w:val="00A60378"/>
    <w:rsid w:val="00A6050F"/>
    <w:rsid w:val="00A609F7"/>
    <w:rsid w:val="00A61061"/>
    <w:rsid w:val="00A614E6"/>
    <w:rsid w:val="00A6176F"/>
    <w:rsid w:val="00A61CEB"/>
    <w:rsid w:val="00A622C8"/>
    <w:rsid w:val="00A62300"/>
    <w:rsid w:val="00A623E3"/>
    <w:rsid w:val="00A6256C"/>
    <w:rsid w:val="00A62822"/>
    <w:rsid w:val="00A62E8B"/>
    <w:rsid w:val="00A63264"/>
    <w:rsid w:val="00A6388F"/>
    <w:rsid w:val="00A63B97"/>
    <w:rsid w:val="00A63C97"/>
    <w:rsid w:val="00A64162"/>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8B6"/>
    <w:rsid w:val="00A66E13"/>
    <w:rsid w:val="00A6729E"/>
    <w:rsid w:val="00A674B1"/>
    <w:rsid w:val="00A675C8"/>
    <w:rsid w:val="00A67A2E"/>
    <w:rsid w:val="00A67C33"/>
    <w:rsid w:val="00A67F98"/>
    <w:rsid w:val="00A67FA8"/>
    <w:rsid w:val="00A700A5"/>
    <w:rsid w:val="00A70334"/>
    <w:rsid w:val="00A70573"/>
    <w:rsid w:val="00A705EF"/>
    <w:rsid w:val="00A70AB1"/>
    <w:rsid w:val="00A71284"/>
    <w:rsid w:val="00A71446"/>
    <w:rsid w:val="00A715CE"/>
    <w:rsid w:val="00A717A5"/>
    <w:rsid w:val="00A71A9C"/>
    <w:rsid w:val="00A71AA7"/>
    <w:rsid w:val="00A72B28"/>
    <w:rsid w:val="00A72E24"/>
    <w:rsid w:val="00A73B7E"/>
    <w:rsid w:val="00A73DB7"/>
    <w:rsid w:val="00A73F96"/>
    <w:rsid w:val="00A74962"/>
    <w:rsid w:val="00A74A0B"/>
    <w:rsid w:val="00A7502A"/>
    <w:rsid w:val="00A75EF4"/>
    <w:rsid w:val="00A761E2"/>
    <w:rsid w:val="00A762A2"/>
    <w:rsid w:val="00A7634B"/>
    <w:rsid w:val="00A76687"/>
    <w:rsid w:val="00A76C49"/>
    <w:rsid w:val="00A76E0A"/>
    <w:rsid w:val="00A76FEA"/>
    <w:rsid w:val="00A773BC"/>
    <w:rsid w:val="00A77605"/>
    <w:rsid w:val="00A776DF"/>
    <w:rsid w:val="00A7777E"/>
    <w:rsid w:val="00A77F76"/>
    <w:rsid w:val="00A80227"/>
    <w:rsid w:val="00A80D4C"/>
    <w:rsid w:val="00A80DEF"/>
    <w:rsid w:val="00A81D04"/>
    <w:rsid w:val="00A82372"/>
    <w:rsid w:val="00A82962"/>
    <w:rsid w:val="00A82B8B"/>
    <w:rsid w:val="00A82CC4"/>
    <w:rsid w:val="00A82E68"/>
    <w:rsid w:val="00A8311D"/>
    <w:rsid w:val="00A835CE"/>
    <w:rsid w:val="00A8398C"/>
    <w:rsid w:val="00A83D83"/>
    <w:rsid w:val="00A83FAC"/>
    <w:rsid w:val="00A841E9"/>
    <w:rsid w:val="00A84BB7"/>
    <w:rsid w:val="00A85100"/>
    <w:rsid w:val="00A857DF"/>
    <w:rsid w:val="00A85D01"/>
    <w:rsid w:val="00A85DAE"/>
    <w:rsid w:val="00A85F0F"/>
    <w:rsid w:val="00A8602A"/>
    <w:rsid w:val="00A865EA"/>
    <w:rsid w:val="00A867A4"/>
    <w:rsid w:val="00A867B5"/>
    <w:rsid w:val="00A873D2"/>
    <w:rsid w:val="00A8762E"/>
    <w:rsid w:val="00A87CAC"/>
    <w:rsid w:val="00A87D34"/>
    <w:rsid w:val="00A90789"/>
    <w:rsid w:val="00A9082F"/>
    <w:rsid w:val="00A909B0"/>
    <w:rsid w:val="00A90B34"/>
    <w:rsid w:val="00A9112D"/>
    <w:rsid w:val="00A91341"/>
    <w:rsid w:val="00A91422"/>
    <w:rsid w:val="00A919D2"/>
    <w:rsid w:val="00A92D2C"/>
    <w:rsid w:val="00A93086"/>
    <w:rsid w:val="00A93D55"/>
    <w:rsid w:val="00A93EE3"/>
    <w:rsid w:val="00A940F0"/>
    <w:rsid w:val="00A94355"/>
    <w:rsid w:val="00A9487F"/>
    <w:rsid w:val="00A94F21"/>
    <w:rsid w:val="00A94FE7"/>
    <w:rsid w:val="00A956BA"/>
    <w:rsid w:val="00A95A9E"/>
    <w:rsid w:val="00A95DFB"/>
    <w:rsid w:val="00A96C02"/>
    <w:rsid w:val="00A97081"/>
    <w:rsid w:val="00A972ED"/>
    <w:rsid w:val="00A97892"/>
    <w:rsid w:val="00AA0892"/>
    <w:rsid w:val="00AA0B61"/>
    <w:rsid w:val="00AA0CD3"/>
    <w:rsid w:val="00AA120B"/>
    <w:rsid w:val="00AA1332"/>
    <w:rsid w:val="00AA18F4"/>
    <w:rsid w:val="00AA2109"/>
    <w:rsid w:val="00AA25E2"/>
    <w:rsid w:val="00AA285F"/>
    <w:rsid w:val="00AA2E7E"/>
    <w:rsid w:val="00AA30AA"/>
    <w:rsid w:val="00AA3276"/>
    <w:rsid w:val="00AA3601"/>
    <w:rsid w:val="00AA3898"/>
    <w:rsid w:val="00AA3C1E"/>
    <w:rsid w:val="00AA4394"/>
    <w:rsid w:val="00AA441C"/>
    <w:rsid w:val="00AA4898"/>
    <w:rsid w:val="00AA4A3A"/>
    <w:rsid w:val="00AA4A91"/>
    <w:rsid w:val="00AA4D43"/>
    <w:rsid w:val="00AA5382"/>
    <w:rsid w:val="00AA5537"/>
    <w:rsid w:val="00AA5957"/>
    <w:rsid w:val="00AA5C5C"/>
    <w:rsid w:val="00AA5D12"/>
    <w:rsid w:val="00AA5DDF"/>
    <w:rsid w:val="00AA64EB"/>
    <w:rsid w:val="00AA69E0"/>
    <w:rsid w:val="00AA6FAC"/>
    <w:rsid w:val="00AA7306"/>
    <w:rsid w:val="00AA791E"/>
    <w:rsid w:val="00AA7B70"/>
    <w:rsid w:val="00AA7BBD"/>
    <w:rsid w:val="00AA7FB6"/>
    <w:rsid w:val="00AB03F5"/>
    <w:rsid w:val="00AB0789"/>
    <w:rsid w:val="00AB0D59"/>
    <w:rsid w:val="00AB0EDC"/>
    <w:rsid w:val="00AB11B3"/>
    <w:rsid w:val="00AB13A6"/>
    <w:rsid w:val="00AB13E6"/>
    <w:rsid w:val="00AB1938"/>
    <w:rsid w:val="00AB1DA4"/>
    <w:rsid w:val="00AB1F24"/>
    <w:rsid w:val="00AB230C"/>
    <w:rsid w:val="00AB2596"/>
    <w:rsid w:val="00AB26CD"/>
    <w:rsid w:val="00AB27DE"/>
    <w:rsid w:val="00AB2FFE"/>
    <w:rsid w:val="00AB30A9"/>
    <w:rsid w:val="00AB31D2"/>
    <w:rsid w:val="00AB32F8"/>
    <w:rsid w:val="00AB3A4B"/>
    <w:rsid w:val="00AB3ADA"/>
    <w:rsid w:val="00AB3D3A"/>
    <w:rsid w:val="00AB4CCA"/>
    <w:rsid w:val="00AB4CEE"/>
    <w:rsid w:val="00AB4DE3"/>
    <w:rsid w:val="00AB546E"/>
    <w:rsid w:val="00AB5472"/>
    <w:rsid w:val="00AB5B3E"/>
    <w:rsid w:val="00AB5B72"/>
    <w:rsid w:val="00AB5CDA"/>
    <w:rsid w:val="00AB6864"/>
    <w:rsid w:val="00AB68A1"/>
    <w:rsid w:val="00AB6F92"/>
    <w:rsid w:val="00AB7601"/>
    <w:rsid w:val="00AB7B2F"/>
    <w:rsid w:val="00AC0450"/>
    <w:rsid w:val="00AC075A"/>
    <w:rsid w:val="00AC0C37"/>
    <w:rsid w:val="00AC1611"/>
    <w:rsid w:val="00AC20A0"/>
    <w:rsid w:val="00AC2267"/>
    <w:rsid w:val="00AC2728"/>
    <w:rsid w:val="00AC2A20"/>
    <w:rsid w:val="00AC3B1D"/>
    <w:rsid w:val="00AC402F"/>
    <w:rsid w:val="00AC45DD"/>
    <w:rsid w:val="00AC48E2"/>
    <w:rsid w:val="00AC496D"/>
    <w:rsid w:val="00AC4CF3"/>
    <w:rsid w:val="00AC50A1"/>
    <w:rsid w:val="00AC5100"/>
    <w:rsid w:val="00AC5209"/>
    <w:rsid w:val="00AC5C3E"/>
    <w:rsid w:val="00AC61DC"/>
    <w:rsid w:val="00AC64AF"/>
    <w:rsid w:val="00AC6737"/>
    <w:rsid w:val="00AC6C6E"/>
    <w:rsid w:val="00AC6D0B"/>
    <w:rsid w:val="00AC6E55"/>
    <w:rsid w:val="00AC74EE"/>
    <w:rsid w:val="00AC7523"/>
    <w:rsid w:val="00AC79EA"/>
    <w:rsid w:val="00AD0448"/>
    <w:rsid w:val="00AD0BD5"/>
    <w:rsid w:val="00AD0F70"/>
    <w:rsid w:val="00AD11D9"/>
    <w:rsid w:val="00AD1278"/>
    <w:rsid w:val="00AD142B"/>
    <w:rsid w:val="00AD193F"/>
    <w:rsid w:val="00AD1973"/>
    <w:rsid w:val="00AD1A48"/>
    <w:rsid w:val="00AD1C4B"/>
    <w:rsid w:val="00AD239D"/>
    <w:rsid w:val="00AD2850"/>
    <w:rsid w:val="00AD337C"/>
    <w:rsid w:val="00AD37CF"/>
    <w:rsid w:val="00AD3A2D"/>
    <w:rsid w:val="00AD3C15"/>
    <w:rsid w:val="00AD3C36"/>
    <w:rsid w:val="00AD3DED"/>
    <w:rsid w:val="00AD4591"/>
    <w:rsid w:val="00AD48D2"/>
    <w:rsid w:val="00AD512E"/>
    <w:rsid w:val="00AD5581"/>
    <w:rsid w:val="00AD5EDC"/>
    <w:rsid w:val="00AD5F12"/>
    <w:rsid w:val="00AD66BF"/>
    <w:rsid w:val="00AD690F"/>
    <w:rsid w:val="00AD699A"/>
    <w:rsid w:val="00AD69C3"/>
    <w:rsid w:val="00AD7284"/>
    <w:rsid w:val="00AD72B4"/>
    <w:rsid w:val="00AD7528"/>
    <w:rsid w:val="00AE0555"/>
    <w:rsid w:val="00AE064E"/>
    <w:rsid w:val="00AE069B"/>
    <w:rsid w:val="00AE0CD0"/>
    <w:rsid w:val="00AE0EA3"/>
    <w:rsid w:val="00AE0FA5"/>
    <w:rsid w:val="00AE13FA"/>
    <w:rsid w:val="00AE1451"/>
    <w:rsid w:val="00AE1C04"/>
    <w:rsid w:val="00AE1DFB"/>
    <w:rsid w:val="00AE2079"/>
    <w:rsid w:val="00AE25A7"/>
    <w:rsid w:val="00AE26A4"/>
    <w:rsid w:val="00AE29C5"/>
    <w:rsid w:val="00AE29E8"/>
    <w:rsid w:val="00AE2EB9"/>
    <w:rsid w:val="00AE2F8A"/>
    <w:rsid w:val="00AE3117"/>
    <w:rsid w:val="00AE3764"/>
    <w:rsid w:val="00AE3928"/>
    <w:rsid w:val="00AE3C5C"/>
    <w:rsid w:val="00AE41B3"/>
    <w:rsid w:val="00AE4529"/>
    <w:rsid w:val="00AE511E"/>
    <w:rsid w:val="00AE54E9"/>
    <w:rsid w:val="00AE661F"/>
    <w:rsid w:val="00AE6833"/>
    <w:rsid w:val="00AE68FF"/>
    <w:rsid w:val="00AE6BEB"/>
    <w:rsid w:val="00AE7064"/>
    <w:rsid w:val="00AE70FA"/>
    <w:rsid w:val="00AE727A"/>
    <w:rsid w:val="00AE7593"/>
    <w:rsid w:val="00AE7758"/>
    <w:rsid w:val="00AF009F"/>
    <w:rsid w:val="00AF0265"/>
    <w:rsid w:val="00AF0846"/>
    <w:rsid w:val="00AF0D3E"/>
    <w:rsid w:val="00AF105D"/>
    <w:rsid w:val="00AF2014"/>
    <w:rsid w:val="00AF21BA"/>
    <w:rsid w:val="00AF25B3"/>
    <w:rsid w:val="00AF2AAE"/>
    <w:rsid w:val="00AF2AEE"/>
    <w:rsid w:val="00AF2B4E"/>
    <w:rsid w:val="00AF31D7"/>
    <w:rsid w:val="00AF38A5"/>
    <w:rsid w:val="00AF3CA2"/>
    <w:rsid w:val="00AF3CE0"/>
    <w:rsid w:val="00AF3ED2"/>
    <w:rsid w:val="00AF4322"/>
    <w:rsid w:val="00AF4D35"/>
    <w:rsid w:val="00AF4FDC"/>
    <w:rsid w:val="00AF54F6"/>
    <w:rsid w:val="00AF5951"/>
    <w:rsid w:val="00AF596A"/>
    <w:rsid w:val="00AF5A09"/>
    <w:rsid w:val="00AF5C0D"/>
    <w:rsid w:val="00AF5D53"/>
    <w:rsid w:val="00AF5DB8"/>
    <w:rsid w:val="00AF67D7"/>
    <w:rsid w:val="00AF68D2"/>
    <w:rsid w:val="00AF6A2D"/>
    <w:rsid w:val="00AF7A20"/>
    <w:rsid w:val="00AF7ACB"/>
    <w:rsid w:val="00AF7BB6"/>
    <w:rsid w:val="00B0017D"/>
    <w:rsid w:val="00B002F9"/>
    <w:rsid w:val="00B00452"/>
    <w:rsid w:val="00B0079E"/>
    <w:rsid w:val="00B00885"/>
    <w:rsid w:val="00B00986"/>
    <w:rsid w:val="00B00CEB"/>
    <w:rsid w:val="00B010C1"/>
    <w:rsid w:val="00B01133"/>
    <w:rsid w:val="00B0164B"/>
    <w:rsid w:val="00B01C7D"/>
    <w:rsid w:val="00B01CA6"/>
    <w:rsid w:val="00B02208"/>
    <w:rsid w:val="00B02B5D"/>
    <w:rsid w:val="00B02EC3"/>
    <w:rsid w:val="00B030F9"/>
    <w:rsid w:val="00B036F9"/>
    <w:rsid w:val="00B03875"/>
    <w:rsid w:val="00B03B51"/>
    <w:rsid w:val="00B03B7C"/>
    <w:rsid w:val="00B03C65"/>
    <w:rsid w:val="00B03CAA"/>
    <w:rsid w:val="00B03E98"/>
    <w:rsid w:val="00B04111"/>
    <w:rsid w:val="00B04298"/>
    <w:rsid w:val="00B0485C"/>
    <w:rsid w:val="00B04963"/>
    <w:rsid w:val="00B050F4"/>
    <w:rsid w:val="00B05276"/>
    <w:rsid w:val="00B0528A"/>
    <w:rsid w:val="00B0567C"/>
    <w:rsid w:val="00B056C1"/>
    <w:rsid w:val="00B05896"/>
    <w:rsid w:val="00B05A2A"/>
    <w:rsid w:val="00B06792"/>
    <w:rsid w:val="00B0707C"/>
    <w:rsid w:val="00B07DBE"/>
    <w:rsid w:val="00B10661"/>
    <w:rsid w:val="00B106B5"/>
    <w:rsid w:val="00B106E8"/>
    <w:rsid w:val="00B107AC"/>
    <w:rsid w:val="00B1082D"/>
    <w:rsid w:val="00B10837"/>
    <w:rsid w:val="00B109B4"/>
    <w:rsid w:val="00B1102B"/>
    <w:rsid w:val="00B1183D"/>
    <w:rsid w:val="00B12150"/>
    <w:rsid w:val="00B122E6"/>
    <w:rsid w:val="00B126B8"/>
    <w:rsid w:val="00B12C72"/>
    <w:rsid w:val="00B13107"/>
    <w:rsid w:val="00B1330F"/>
    <w:rsid w:val="00B13551"/>
    <w:rsid w:val="00B13938"/>
    <w:rsid w:val="00B13C95"/>
    <w:rsid w:val="00B14065"/>
    <w:rsid w:val="00B144D1"/>
    <w:rsid w:val="00B14C87"/>
    <w:rsid w:val="00B14E01"/>
    <w:rsid w:val="00B1527D"/>
    <w:rsid w:val="00B159C3"/>
    <w:rsid w:val="00B163E9"/>
    <w:rsid w:val="00B166F3"/>
    <w:rsid w:val="00B16918"/>
    <w:rsid w:val="00B16BF6"/>
    <w:rsid w:val="00B17186"/>
    <w:rsid w:val="00B1767B"/>
    <w:rsid w:val="00B1787D"/>
    <w:rsid w:val="00B17C98"/>
    <w:rsid w:val="00B17FD0"/>
    <w:rsid w:val="00B20097"/>
    <w:rsid w:val="00B20857"/>
    <w:rsid w:val="00B209EA"/>
    <w:rsid w:val="00B20FA4"/>
    <w:rsid w:val="00B21082"/>
    <w:rsid w:val="00B21439"/>
    <w:rsid w:val="00B21E2D"/>
    <w:rsid w:val="00B22A34"/>
    <w:rsid w:val="00B22F79"/>
    <w:rsid w:val="00B2356D"/>
    <w:rsid w:val="00B235E8"/>
    <w:rsid w:val="00B23A2C"/>
    <w:rsid w:val="00B23C24"/>
    <w:rsid w:val="00B24145"/>
    <w:rsid w:val="00B241C7"/>
    <w:rsid w:val="00B24496"/>
    <w:rsid w:val="00B246EE"/>
    <w:rsid w:val="00B24880"/>
    <w:rsid w:val="00B24CAB"/>
    <w:rsid w:val="00B24FB4"/>
    <w:rsid w:val="00B25C24"/>
    <w:rsid w:val="00B26993"/>
    <w:rsid w:val="00B26EBA"/>
    <w:rsid w:val="00B27867"/>
    <w:rsid w:val="00B27BF9"/>
    <w:rsid w:val="00B27DBF"/>
    <w:rsid w:val="00B27EE6"/>
    <w:rsid w:val="00B3069A"/>
    <w:rsid w:val="00B3069C"/>
    <w:rsid w:val="00B307C9"/>
    <w:rsid w:val="00B309D3"/>
    <w:rsid w:val="00B30B4D"/>
    <w:rsid w:val="00B3108D"/>
    <w:rsid w:val="00B313D4"/>
    <w:rsid w:val="00B3170F"/>
    <w:rsid w:val="00B317B7"/>
    <w:rsid w:val="00B318C6"/>
    <w:rsid w:val="00B31AF8"/>
    <w:rsid w:val="00B31EF0"/>
    <w:rsid w:val="00B31F10"/>
    <w:rsid w:val="00B3257C"/>
    <w:rsid w:val="00B32707"/>
    <w:rsid w:val="00B3340A"/>
    <w:rsid w:val="00B34679"/>
    <w:rsid w:val="00B3480E"/>
    <w:rsid w:val="00B34ABB"/>
    <w:rsid w:val="00B34FEE"/>
    <w:rsid w:val="00B35196"/>
    <w:rsid w:val="00B356C1"/>
    <w:rsid w:val="00B356EF"/>
    <w:rsid w:val="00B35C7E"/>
    <w:rsid w:val="00B35F6E"/>
    <w:rsid w:val="00B36145"/>
    <w:rsid w:val="00B36529"/>
    <w:rsid w:val="00B367A8"/>
    <w:rsid w:val="00B36DEA"/>
    <w:rsid w:val="00B37023"/>
    <w:rsid w:val="00B370AB"/>
    <w:rsid w:val="00B37570"/>
    <w:rsid w:val="00B3773B"/>
    <w:rsid w:val="00B37A29"/>
    <w:rsid w:val="00B37A4C"/>
    <w:rsid w:val="00B37ACB"/>
    <w:rsid w:val="00B37C5F"/>
    <w:rsid w:val="00B37E07"/>
    <w:rsid w:val="00B402EF"/>
    <w:rsid w:val="00B4033B"/>
    <w:rsid w:val="00B403C5"/>
    <w:rsid w:val="00B403F4"/>
    <w:rsid w:val="00B40547"/>
    <w:rsid w:val="00B409E4"/>
    <w:rsid w:val="00B40ED1"/>
    <w:rsid w:val="00B410F2"/>
    <w:rsid w:val="00B41423"/>
    <w:rsid w:val="00B41A92"/>
    <w:rsid w:val="00B41D84"/>
    <w:rsid w:val="00B41E18"/>
    <w:rsid w:val="00B422DC"/>
    <w:rsid w:val="00B4231A"/>
    <w:rsid w:val="00B4250A"/>
    <w:rsid w:val="00B4298F"/>
    <w:rsid w:val="00B42A8F"/>
    <w:rsid w:val="00B43325"/>
    <w:rsid w:val="00B43580"/>
    <w:rsid w:val="00B4437E"/>
    <w:rsid w:val="00B44764"/>
    <w:rsid w:val="00B4537F"/>
    <w:rsid w:val="00B45B4F"/>
    <w:rsid w:val="00B45EC0"/>
    <w:rsid w:val="00B46E27"/>
    <w:rsid w:val="00B471B6"/>
    <w:rsid w:val="00B47B5A"/>
    <w:rsid w:val="00B501AF"/>
    <w:rsid w:val="00B50375"/>
    <w:rsid w:val="00B50426"/>
    <w:rsid w:val="00B50595"/>
    <w:rsid w:val="00B50C4E"/>
    <w:rsid w:val="00B5113A"/>
    <w:rsid w:val="00B51358"/>
    <w:rsid w:val="00B51974"/>
    <w:rsid w:val="00B53983"/>
    <w:rsid w:val="00B543AD"/>
    <w:rsid w:val="00B54709"/>
    <w:rsid w:val="00B54A57"/>
    <w:rsid w:val="00B55228"/>
    <w:rsid w:val="00B55654"/>
    <w:rsid w:val="00B5568E"/>
    <w:rsid w:val="00B55B7F"/>
    <w:rsid w:val="00B55C95"/>
    <w:rsid w:val="00B55D79"/>
    <w:rsid w:val="00B56219"/>
    <w:rsid w:val="00B562BD"/>
    <w:rsid w:val="00B5640A"/>
    <w:rsid w:val="00B564B4"/>
    <w:rsid w:val="00B56722"/>
    <w:rsid w:val="00B5675B"/>
    <w:rsid w:val="00B56A31"/>
    <w:rsid w:val="00B56A96"/>
    <w:rsid w:val="00B56CD9"/>
    <w:rsid w:val="00B56CF8"/>
    <w:rsid w:val="00B56DB2"/>
    <w:rsid w:val="00B56F56"/>
    <w:rsid w:val="00B575F4"/>
    <w:rsid w:val="00B57822"/>
    <w:rsid w:val="00B578BA"/>
    <w:rsid w:val="00B57DAB"/>
    <w:rsid w:val="00B57EEF"/>
    <w:rsid w:val="00B61054"/>
    <w:rsid w:val="00B61459"/>
    <w:rsid w:val="00B61C06"/>
    <w:rsid w:val="00B61E8F"/>
    <w:rsid w:val="00B623E1"/>
    <w:rsid w:val="00B6243A"/>
    <w:rsid w:val="00B62556"/>
    <w:rsid w:val="00B625ED"/>
    <w:rsid w:val="00B6368B"/>
    <w:rsid w:val="00B63B44"/>
    <w:rsid w:val="00B63D84"/>
    <w:rsid w:val="00B63FE7"/>
    <w:rsid w:val="00B64058"/>
    <w:rsid w:val="00B64069"/>
    <w:rsid w:val="00B643C1"/>
    <w:rsid w:val="00B64425"/>
    <w:rsid w:val="00B649DF"/>
    <w:rsid w:val="00B6501F"/>
    <w:rsid w:val="00B65685"/>
    <w:rsid w:val="00B6580F"/>
    <w:rsid w:val="00B65BD7"/>
    <w:rsid w:val="00B6639B"/>
    <w:rsid w:val="00B664B6"/>
    <w:rsid w:val="00B66540"/>
    <w:rsid w:val="00B66797"/>
    <w:rsid w:val="00B66828"/>
    <w:rsid w:val="00B66D4B"/>
    <w:rsid w:val="00B66E22"/>
    <w:rsid w:val="00B6795F"/>
    <w:rsid w:val="00B67B1E"/>
    <w:rsid w:val="00B67CAE"/>
    <w:rsid w:val="00B67D4B"/>
    <w:rsid w:val="00B67D81"/>
    <w:rsid w:val="00B67DD1"/>
    <w:rsid w:val="00B703B3"/>
    <w:rsid w:val="00B70436"/>
    <w:rsid w:val="00B710E1"/>
    <w:rsid w:val="00B7147F"/>
    <w:rsid w:val="00B71BC1"/>
    <w:rsid w:val="00B71CFF"/>
    <w:rsid w:val="00B72C0A"/>
    <w:rsid w:val="00B72F2B"/>
    <w:rsid w:val="00B731CE"/>
    <w:rsid w:val="00B73A4C"/>
    <w:rsid w:val="00B73D9E"/>
    <w:rsid w:val="00B73E7F"/>
    <w:rsid w:val="00B745D7"/>
    <w:rsid w:val="00B745F5"/>
    <w:rsid w:val="00B74909"/>
    <w:rsid w:val="00B74910"/>
    <w:rsid w:val="00B74F2E"/>
    <w:rsid w:val="00B75886"/>
    <w:rsid w:val="00B75906"/>
    <w:rsid w:val="00B76180"/>
    <w:rsid w:val="00B76223"/>
    <w:rsid w:val="00B766D0"/>
    <w:rsid w:val="00B76AA1"/>
    <w:rsid w:val="00B76B3C"/>
    <w:rsid w:val="00B76E5D"/>
    <w:rsid w:val="00B76F4E"/>
    <w:rsid w:val="00B772B3"/>
    <w:rsid w:val="00B77505"/>
    <w:rsid w:val="00B778E3"/>
    <w:rsid w:val="00B80489"/>
    <w:rsid w:val="00B8057B"/>
    <w:rsid w:val="00B808C3"/>
    <w:rsid w:val="00B80F50"/>
    <w:rsid w:val="00B811B5"/>
    <w:rsid w:val="00B814A1"/>
    <w:rsid w:val="00B81A1A"/>
    <w:rsid w:val="00B81BEE"/>
    <w:rsid w:val="00B81C28"/>
    <w:rsid w:val="00B81DE0"/>
    <w:rsid w:val="00B82456"/>
    <w:rsid w:val="00B82460"/>
    <w:rsid w:val="00B824E4"/>
    <w:rsid w:val="00B82694"/>
    <w:rsid w:val="00B827C8"/>
    <w:rsid w:val="00B832E1"/>
    <w:rsid w:val="00B83A12"/>
    <w:rsid w:val="00B83E2C"/>
    <w:rsid w:val="00B84011"/>
    <w:rsid w:val="00B84232"/>
    <w:rsid w:val="00B84739"/>
    <w:rsid w:val="00B84C2E"/>
    <w:rsid w:val="00B854A8"/>
    <w:rsid w:val="00B85867"/>
    <w:rsid w:val="00B85B53"/>
    <w:rsid w:val="00B85D0D"/>
    <w:rsid w:val="00B86144"/>
    <w:rsid w:val="00B861F1"/>
    <w:rsid w:val="00B869DA"/>
    <w:rsid w:val="00B86B70"/>
    <w:rsid w:val="00B86D8E"/>
    <w:rsid w:val="00B87BA1"/>
    <w:rsid w:val="00B87CEB"/>
    <w:rsid w:val="00B90529"/>
    <w:rsid w:val="00B90BDB"/>
    <w:rsid w:val="00B91023"/>
    <w:rsid w:val="00B915A7"/>
    <w:rsid w:val="00B918AD"/>
    <w:rsid w:val="00B91D8C"/>
    <w:rsid w:val="00B92678"/>
    <w:rsid w:val="00B92C44"/>
    <w:rsid w:val="00B9323F"/>
    <w:rsid w:val="00B93292"/>
    <w:rsid w:val="00B935CD"/>
    <w:rsid w:val="00B93706"/>
    <w:rsid w:val="00B93ADB"/>
    <w:rsid w:val="00B93B0B"/>
    <w:rsid w:val="00B93B11"/>
    <w:rsid w:val="00B93BAB"/>
    <w:rsid w:val="00B93F3A"/>
    <w:rsid w:val="00B940E4"/>
    <w:rsid w:val="00B945A8"/>
    <w:rsid w:val="00B94907"/>
    <w:rsid w:val="00B94999"/>
    <w:rsid w:val="00B94EE3"/>
    <w:rsid w:val="00B95202"/>
    <w:rsid w:val="00B95FA2"/>
    <w:rsid w:val="00B964AE"/>
    <w:rsid w:val="00B969B7"/>
    <w:rsid w:val="00B96E2C"/>
    <w:rsid w:val="00B971F5"/>
    <w:rsid w:val="00B97353"/>
    <w:rsid w:val="00B97466"/>
    <w:rsid w:val="00B9797D"/>
    <w:rsid w:val="00B97C51"/>
    <w:rsid w:val="00BA01E2"/>
    <w:rsid w:val="00BA0259"/>
    <w:rsid w:val="00BA025A"/>
    <w:rsid w:val="00BA0949"/>
    <w:rsid w:val="00BA0E0C"/>
    <w:rsid w:val="00BA13EB"/>
    <w:rsid w:val="00BA1750"/>
    <w:rsid w:val="00BA17B6"/>
    <w:rsid w:val="00BA18DD"/>
    <w:rsid w:val="00BA193C"/>
    <w:rsid w:val="00BA1A5C"/>
    <w:rsid w:val="00BA23A3"/>
    <w:rsid w:val="00BA242F"/>
    <w:rsid w:val="00BA244B"/>
    <w:rsid w:val="00BA264F"/>
    <w:rsid w:val="00BA2A2E"/>
    <w:rsid w:val="00BA2A98"/>
    <w:rsid w:val="00BA2BFD"/>
    <w:rsid w:val="00BA3044"/>
    <w:rsid w:val="00BA3E9C"/>
    <w:rsid w:val="00BA3F29"/>
    <w:rsid w:val="00BA41D6"/>
    <w:rsid w:val="00BA4EF6"/>
    <w:rsid w:val="00BA56A2"/>
    <w:rsid w:val="00BA603A"/>
    <w:rsid w:val="00BA6050"/>
    <w:rsid w:val="00BA615C"/>
    <w:rsid w:val="00BA65BD"/>
    <w:rsid w:val="00BA66FE"/>
    <w:rsid w:val="00BA6C66"/>
    <w:rsid w:val="00BA7126"/>
    <w:rsid w:val="00BA7216"/>
    <w:rsid w:val="00BA72BD"/>
    <w:rsid w:val="00BA792E"/>
    <w:rsid w:val="00BA7AD3"/>
    <w:rsid w:val="00BA7F2E"/>
    <w:rsid w:val="00BB010F"/>
    <w:rsid w:val="00BB035B"/>
    <w:rsid w:val="00BB067C"/>
    <w:rsid w:val="00BB082E"/>
    <w:rsid w:val="00BB08A7"/>
    <w:rsid w:val="00BB0C24"/>
    <w:rsid w:val="00BB0C8E"/>
    <w:rsid w:val="00BB0CD2"/>
    <w:rsid w:val="00BB0F17"/>
    <w:rsid w:val="00BB112C"/>
    <w:rsid w:val="00BB1811"/>
    <w:rsid w:val="00BB248C"/>
    <w:rsid w:val="00BB2E17"/>
    <w:rsid w:val="00BB37F7"/>
    <w:rsid w:val="00BB3AE2"/>
    <w:rsid w:val="00BB498B"/>
    <w:rsid w:val="00BB4BBE"/>
    <w:rsid w:val="00BB4E1B"/>
    <w:rsid w:val="00BB5250"/>
    <w:rsid w:val="00BB562B"/>
    <w:rsid w:val="00BB5998"/>
    <w:rsid w:val="00BB6A15"/>
    <w:rsid w:val="00BB6E1B"/>
    <w:rsid w:val="00BB732D"/>
    <w:rsid w:val="00BB7802"/>
    <w:rsid w:val="00BB7B7B"/>
    <w:rsid w:val="00BB7D73"/>
    <w:rsid w:val="00BC03B3"/>
    <w:rsid w:val="00BC0483"/>
    <w:rsid w:val="00BC0508"/>
    <w:rsid w:val="00BC0549"/>
    <w:rsid w:val="00BC0729"/>
    <w:rsid w:val="00BC074D"/>
    <w:rsid w:val="00BC0E25"/>
    <w:rsid w:val="00BC1025"/>
    <w:rsid w:val="00BC1257"/>
    <w:rsid w:val="00BC1676"/>
    <w:rsid w:val="00BC19D9"/>
    <w:rsid w:val="00BC1A14"/>
    <w:rsid w:val="00BC1FD3"/>
    <w:rsid w:val="00BC2192"/>
    <w:rsid w:val="00BC22F6"/>
    <w:rsid w:val="00BC2B06"/>
    <w:rsid w:val="00BC2C17"/>
    <w:rsid w:val="00BC2F45"/>
    <w:rsid w:val="00BC3C0A"/>
    <w:rsid w:val="00BC4D7A"/>
    <w:rsid w:val="00BC55CB"/>
    <w:rsid w:val="00BC560A"/>
    <w:rsid w:val="00BC59A7"/>
    <w:rsid w:val="00BC6607"/>
    <w:rsid w:val="00BC66BD"/>
    <w:rsid w:val="00BC6BBA"/>
    <w:rsid w:val="00BC6D53"/>
    <w:rsid w:val="00BC7268"/>
    <w:rsid w:val="00BC72D2"/>
    <w:rsid w:val="00BC7534"/>
    <w:rsid w:val="00BC756A"/>
    <w:rsid w:val="00BD0309"/>
    <w:rsid w:val="00BD03F1"/>
    <w:rsid w:val="00BD05AC"/>
    <w:rsid w:val="00BD0959"/>
    <w:rsid w:val="00BD0BAE"/>
    <w:rsid w:val="00BD0D23"/>
    <w:rsid w:val="00BD10E8"/>
    <w:rsid w:val="00BD1408"/>
    <w:rsid w:val="00BD147A"/>
    <w:rsid w:val="00BD1AEA"/>
    <w:rsid w:val="00BD1C72"/>
    <w:rsid w:val="00BD259C"/>
    <w:rsid w:val="00BD27EF"/>
    <w:rsid w:val="00BD2C22"/>
    <w:rsid w:val="00BD2E08"/>
    <w:rsid w:val="00BD31E5"/>
    <w:rsid w:val="00BD321B"/>
    <w:rsid w:val="00BD34FD"/>
    <w:rsid w:val="00BD365C"/>
    <w:rsid w:val="00BD39CF"/>
    <w:rsid w:val="00BD3F1B"/>
    <w:rsid w:val="00BD3F94"/>
    <w:rsid w:val="00BD409C"/>
    <w:rsid w:val="00BD4305"/>
    <w:rsid w:val="00BD4A57"/>
    <w:rsid w:val="00BD51BD"/>
    <w:rsid w:val="00BD51DF"/>
    <w:rsid w:val="00BD51F3"/>
    <w:rsid w:val="00BD5362"/>
    <w:rsid w:val="00BD5424"/>
    <w:rsid w:val="00BD569E"/>
    <w:rsid w:val="00BD5C64"/>
    <w:rsid w:val="00BD6038"/>
    <w:rsid w:val="00BD65BD"/>
    <w:rsid w:val="00BD6CEF"/>
    <w:rsid w:val="00BD73F6"/>
    <w:rsid w:val="00BD7767"/>
    <w:rsid w:val="00BD7D8E"/>
    <w:rsid w:val="00BD7E96"/>
    <w:rsid w:val="00BE003B"/>
    <w:rsid w:val="00BE0411"/>
    <w:rsid w:val="00BE0AA1"/>
    <w:rsid w:val="00BE0D81"/>
    <w:rsid w:val="00BE1242"/>
    <w:rsid w:val="00BE129B"/>
    <w:rsid w:val="00BE16D7"/>
    <w:rsid w:val="00BE1927"/>
    <w:rsid w:val="00BE1979"/>
    <w:rsid w:val="00BE2109"/>
    <w:rsid w:val="00BE2619"/>
    <w:rsid w:val="00BE2674"/>
    <w:rsid w:val="00BE2DDF"/>
    <w:rsid w:val="00BE380C"/>
    <w:rsid w:val="00BE40E2"/>
    <w:rsid w:val="00BE42A5"/>
    <w:rsid w:val="00BE447E"/>
    <w:rsid w:val="00BE4914"/>
    <w:rsid w:val="00BE4D20"/>
    <w:rsid w:val="00BE4F71"/>
    <w:rsid w:val="00BE582D"/>
    <w:rsid w:val="00BE59C0"/>
    <w:rsid w:val="00BE625F"/>
    <w:rsid w:val="00BE6639"/>
    <w:rsid w:val="00BE66BA"/>
    <w:rsid w:val="00BE683A"/>
    <w:rsid w:val="00BE6A7D"/>
    <w:rsid w:val="00BE6EFA"/>
    <w:rsid w:val="00BE7036"/>
    <w:rsid w:val="00BE70CA"/>
    <w:rsid w:val="00BE71EF"/>
    <w:rsid w:val="00BE7258"/>
    <w:rsid w:val="00BE777C"/>
    <w:rsid w:val="00BE7974"/>
    <w:rsid w:val="00BF017F"/>
    <w:rsid w:val="00BF041A"/>
    <w:rsid w:val="00BF080C"/>
    <w:rsid w:val="00BF0FCE"/>
    <w:rsid w:val="00BF126F"/>
    <w:rsid w:val="00BF1739"/>
    <w:rsid w:val="00BF1B65"/>
    <w:rsid w:val="00BF1E21"/>
    <w:rsid w:val="00BF22F1"/>
    <w:rsid w:val="00BF2606"/>
    <w:rsid w:val="00BF30AC"/>
    <w:rsid w:val="00BF33BB"/>
    <w:rsid w:val="00BF347E"/>
    <w:rsid w:val="00BF36A4"/>
    <w:rsid w:val="00BF37A4"/>
    <w:rsid w:val="00BF38F0"/>
    <w:rsid w:val="00BF3FE5"/>
    <w:rsid w:val="00BF4916"/>
    <w:rsid w:val="00BF4A1B"/>
    <w:rsid w:val="00BF5804"/>
    <w:rsid w:val="00BF5988"/>
    <w:rsid w:val="00BF5CBF"/>
    <w:rsid w:val="00BF63D9"/>
    <w:rsid w:val="00BF6BEF"/>
    <w:rsid w:val="00BF6F59"/>
    <w:rsid w:val="00BF7CF6"/>
    <w:rsid w:val="00C00307"/>
    <w:rsid w:val="00C00575"/>
    <w:rsid w:val="00C007A1"/>
    <w:rsid w:val="00C0085A"/>
    <w:rsid w:val="00C0091E"/>
    <w:rsid w:val="00C00B2E"/>
    <w:rsid w:val="00C00B7D"/>
    <w:rsid w:val="00C022AD"/>
    <w:rsid w:val="00C02BC3"/>
    <w:rsid w:val="00C03003"/>
    <w:rsid w:val="00C033B1"/>
    <w:rsid w:val="00C0359F"/>
    <w:rsid w:val="00C035B0"/>
    <w:rsid w:val="00C036C7"/>
    <w:rsid w:val="00C04508"/>
    <w:rsid w:val="00C04856"/>
    <w:rsid w:val="00C04984"/>
    <w:rsid w:val="00C049DE"/>
    <w:rsid w:val="00C050C8"/>
    <w:rsid w:val="00C052AD"/>
    <w:rsid w:val="00C0538B"/>
    <w:rsid w:val="00C05B9F"/>
    <w:rsid w:val="00C05CE6"/>
    <w:rsid w:val="00C05DF9"/>
    <w:rsid w:val="00C05E28"/>
    <w:rsid w:val="00C05E69"/>
    <w:rsid w:val="00C05FEE"/>
    <w:rsid w:val="00C065BF"/>
    <w:rsid w:val="00C06D7A"/>
    <w:rsid w:val="00C07585"/>
    <w:rsid w:val="00C079AD"/>
    <w:rsid w:val="00C07CD0"/>
    <w:rsid w:val="00C07DB2"/>
    <w:rsid w:val="00C07E49"/>
    <w:rsid w:val="00C1021E"/>
    <w:rsid w:val="00C10739"/>
    <w:rsid w:val="00C11047"/>
    <w:rsid w:val="00C111B0"/>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20768"/>
    <w:rsid w:val="00C208DA"/>
    <w:rsid w:val="00C209D3"/>
    <w:rsid w:val="00C210A4"/>
    <w:rsid w:val="00C210B8"/>
    <w:rsid w:val="00C212BB"/>
    <w:rsid w:val="00C215F3"/>
    <w:rsid w:val="00C21731"/>
    <w:rsid w:val="00C21B34"/>
    <w:rsid w:val="00C21B40"/>
    <w:rsid w:val="00C21DB7"/>
    <w:rsid w:val="00C2206D"/>
    <w:rsid w:val="00C22731"/>
    <w:rsid w:val="00C227F0"/>
    <w:rsid w:val="00C22FD0"/>
    <w:rsid w:val="00C2334E"/>
    <w:rsid w:val="00C23450"/>
    <w:rsid w:val="00C23AEE"/>
    <w:rsid w:val="00C24353"/>
    <w:rsid w:val="00C249DF"/>
    <w:rsid w:val="00C24CED"/>
    <w:rsid w:val="00C24FE3"/>
    <w:rsid w:val="00C252B3"/>
    <w:rsid w:val="00C25395"/>
    <w:rsid w:val="00C256D0"/>
    <w:rsid w:val="00C25867"/>
    <w:rsid w:val="00C265E7"/>
    <w:rsid w:val="00C266DD"/>
    <w:rsid w:val="00C269CB"/>
    <w:rsid w:val="00C26A10"/>
    <w:rsid w:val="00C26EF7"/>
    <w:rsid w:val="00C26FCF"/>
    <w:rsid w:val="00C27442"/>
    <w:rsid w:val="00C27E76"/>
    <w:rsid w:val="00C30A72"/>
    <w:rsid w:val="00C30AAF"/>
    <w:rsid w:val="00C30AB5"/>
    <w:rsid w:val="00C30B07"/>
    <w:rsid w:val="00C30CF1"/>
    <w:rsid w:val="00C312A5"/>
    <w:rsid w:val="00C3148E"/>
    <w:rsid w:val="00C3170A"/>
    <w:rsid w:val="00C31972"/>
    <w:rsid w:val="00C31D58"/>
    <w:rsid w:val="00C32AF2"/>
    <w:rsid w:val="00C32D3A"/>
    <w:rsid w:val="00C32F4E"/>
    <w:rsid w:val="00C32FAF"/>
    <w:rsid w:val="00C331E9"/>
    <w:rsid w:val="00C333DE"/>
    <w:rsid w:val="00C3363A"/>
    <w:rsid w:val="00C33699"/>
    <w:rsid w:val="00C33994"/>
    <w:rsid w:val="00C33A92"/>
    <w:rsid w:val="00C33D3F"/>
    <w:rsid w:val="00C3467F"/>
    <w:rsid w:val="00C3476D"/>
    <w:rsid w:val="00C34C25"/>
    <w:rsid w:val="00C34F0F"/>
    <w:rsid w:val="00C34FF9"/>
    <w:rsid w:val="00C35055"/>
    <w:rsid w:val="00C3563B"/>
    <w:rsid w:val="00C36102"/>
    <w:rsid w:val="00C361EB"/>
    <w:rsid w:val="00C365C2"/>
    <w:rsid w:val="00C3660C"/>
    <w:rsid w:val="00C368B4"/>
    <w:rsid w:val="00C36A14"/>
    <w:rsid w:val="00C36E60"/>
    <w:rsid w:val="00C372E9"/>
    <w:rsid w:val="00C37423"/>
    <w:rsid w:val="00C3768E"/>
    <w:rsid w:val="00C379FD"/>
    <w:rsid w:val="00C37A49"/>
    <w:rsid w:val="00C37EEC"/>
    <w:rsid w:val="00C40508"/>
    <w:rsid w:val="00C40589"/>
    <w:rsid w:val="00C40AC9"/>
    <w:rsid w:val="00C40DB7"/>
    <w:rsid w:val="00C415F9"/>
    <w:rsid w:val="00C4229B"/>
    <w:rsid w:val="00C4261C"/>
    <w:rsid w:val="00C42637"/>
    <w:rsid w:val="00C426BA"/>
    <w:rsid w:val="00C42C94"/>
    <w:rsid w:val="00C42D0F"/>
    <w:rsid w:val="00C42E50"/>
    <w:rsid w:val="00C4372C"/>
    <w:rsid w:val="00C438F3"/>
    <w:rsid w:val="00C43AF7"/>
    <w:rsid w:val="00C4419B"/>
    <w:rsid w:val="00C447EB"/>
    <w:rsid w:val="00C44C96"/>
    <w:rsid w:val="00C44D0E"/>
    <w:rsid w:val="00C45475"/>
    <w:rsid w:val="00C456D8"/>
    <w:rsid w:val="00C464D8"/>
    <w:rsid w:val="00C46A05"/>
    <w:rsid w:val="00C46BF0"/>
    <w:rsid w:val="00C46F64"/>
    <w:rsid w:val="00C47B25"/>
    <w:rsid w:val="00C502A2"/>
    <w:rsid w:val="00C5030C"/>
    <w:rsid w:val="00C50382"/>
    <w:rsid w:val="00C504E9"/>
    <w:rsid w:val="00C508C3"/>
    <w:rsid w:val="00C50C99"/>
    <w:rsid w:val="00C50CE4"/>
    <w:rsid w:val="00C51070"/>
    <w:rsid w:val="00C5132D"/>
    <w:rsid w:val="00C514D8"/>
    <w:rsid w:val="00C51986"/>
    <w:rsid w:val="00C51BA1"/>
    <w:rsid w:val="00C52318"/>
    <w:rsid w:val="00C52646"/>
    <w:rsid w:val="00C53A7B"/>
    <w:rsid w:val="00C53AFB"/>
    <w:rsid w:val="00C53B61"/>
    <w:rsid w:val="00C53C2D"/>
    <w:rsid w:val="00C53CDB"/>
    <w:rsid w:val="00C547D9"/>
    <w:rsid w:val="00C54A14"/>
    <w:rsid w:val="00C54D63"/>
    <w:rsid w:val="00C55267"/>
    <w:rsid w:val="00C55284"/>
    <w:rsid w:val="00C552A4"/>
    <w:rsid w:val="00C552C8"/>
    <w:rsid w:val="00C553D5"/>
    <w:rsid w:val="00C555EE"/>
    <w:rsid w:val="00C558C7"/>
    <w:rsid w:val="00C55A37"/>
    <w:rsid w:val="00C55B0B"/>
    <w:rsid w:val="00C55D4B"/>
    <w:rsid w:val="00C56043"/>
    <w:rsid w:val="00C567ED"/>
    <w:rsid w:val="00C57379"/>
    <w:rsid w:val="00C57912"/>
    <w:rsid w:val="00C6068E"/>
    <w:rsid w:val="00C606F8"/>
    <w:rsid w:val="00C60867"/>
    <w:rsid w:val="00C60B5A"/>
    <w:rsid w:val="00C60C36"/>
    <w:rsid w:val="00C60F1B"/>
    <w:rsid w:val="00C61288"/>
    <w:rsid w:val="00C61468"/>
    <w:rsid w:val="00C62275"/>
    <w:rsid w:val="00C62861"/>
    <w:rsid w:val="00C62A8A"/>
    <w:rsid w:val="00C62AB5"/>
    <w:rsid w:val="00C62C79"/>
    <w:rsid w:val="00C62D64"/>
    <w:rsid w:val="00C62DCB"/>
    <w:rsid w:val="00C62E3B"/>
    <w:rsid w:val="00C63199"/>
    <w:rsid w:val="00C632FD"/>
    <w:rsid w:val="00C63398"/>
    <w:rsid w:val="00C63F5E"/>
    <w:rsid w:val="00C64B1F"/>
    <w:rsid w:val="00C64D7B"/>
    <w:rsid w:val="00C654E1"/>
    <w:rsid w:val="00C65E4A"/>
    <w:rsid w:val="00C6604A"/>
    <w:rsid w:val="00C665B1"/>
    <w:rsid w:val="00C665EA"/>
    <w:rsid w:val="00C66753"/>
    <w:rsid w:val="00C6699E"/>
    <w:rsid w:val="00C669E6"/>
    <w:rsid w:val="00C66A2D"/>
    <w:rsid w:val="00C66FCA"/>
    <w:rsid w:val="00C6712F"/>
    <w:rsid w:val="00C6714A"/>
    <w:rsid w:val="00C6727A"/>
    <w:rsid w:val="00C67AC0"/>
    <w:rsid w:val="00C67BB1"/>
    <w:rsid w:val="00C67FCA"/>
    <w:rsid w:val="00C70050"/>
    <w:rsid w:val="00C70352"/>
    <w:rsid w:val="00C70573"/>
    <w:rsid w:val="00C70799"/>
    <w:rsid w:val="00C70828"/>
    <w:rsid w:val="00C7083E"/>
    <w:rsid w:val="00C7098A"/>
    <w:rsid w:val="00C7098C"/>
    <w:rsid w:val="00C70A60"/>
    <w:rsid w:val="00C71878"/>
    <w:rsid w:val="00C719A8"/>
    <w:rsid w:val="00C71C39"/>
    <w:rsid w:val="00C71DAF"/>
    <w:rsid w:val="00C71FA7"/>
    <w:rsid w:val="00C72437"/>
    <w:rsid w:val="00C72643"/>
    <w:rsid w:val="00C72909"/>
    <w:rsid w:val="00C72E60"/>
    <w:rsid w:val="00C73340"/>
    <w:rsid w:val="00C734A0"/>
    <w:rsid w:val="00C736C0"/>
    <w:rsid w:val="00C73AD9"/>
    <w:rsid w:val="00C73B7F"/>
    <w:rsid w:val="00C73D4D"/>
    <w:rsid w:val="00C7402D"/>
    <w:rsid w:val="00C742D5"/>
    <w:rsid w:val="00C744F4"/>
    <w:rsid w:val="00C745F4"/>
    <w:rsid w:val="00C749EA"/>
    <w:rsid w:val="00C74EA7"/>
    <w:rsid w:val="00C75003"/>
    <w:rsid w:val="00C75148"/>
    <w:rsid w:val="00C755F4"/>
    <w:rsid w:val="00C763EA"/>
    <w:rsid w:val="00C764E7"/>
    <w:rsid w:val="00C766C5"/>
    <w:rsid w:val="00C7689C"/>
    <w:rsid w:val="00C76CF8"/>
    <w:rsid w:val="00C77614"/>
    <w:rsid w:val="00C77965"/>
    <w:rsid w:val="00C779B6"/>
    <w:rsid w:val="00C77CD8"/>
    <w:rsid w:val="00C8008C"/>
    <w:rsid w:val="00C808E1"/>
    <w:rsid w:val="00C808E2"/>
    <w:rsid w:val="00C80B7C"/>
    <w:rsid w:val="00C80C19"/>
    <w:rsid w:val="00C81240"/>
    <w:rsid w:val="00C815A5"/>
    <w:rsid w:val="00C8194D"/>
    <w:rsid w:val="00C81B28"/>
    <w:rsid w:val="00C8237E"/>
    <w:rsid w:val="00C827CB"/>
    <w:rsid w:val="00C828A4"/>
    <w:rsid w:val="00C829FB"/>
    <w:rsid w:val="00C82BFB"/>
    <w:rsid w:val="00C82C90"/>
    <w:rsid w:val="00C82FBA"/>
    <w:rsid w:val="00C83679"/>
    <w:rsid w:val="00C83AF8"/>
    <w:rsid w:val="00C83C02"/>
    <w:rsid w:val="00C84728"/>
    <w:rsid w:val="00C84BFF"/>
    <w:rsid w:val="00C84E9D"/>
    <w:rsid w:val="00C85015"/>
    <w:rsid w:val="00C850E7"/>
    <w:rsid w:val="00C85D61"/>
    <w:rsid w:val="00C86362"/>
    <w:rsid w:val="00C8666B"/>
    <w:rsid w:val="00C8696A"/>
    <w:rsid w:val="00C875DC"/>
    <w:rsid w:val="00C87690"/>
    <w:rsid w:val="00C905A3"/>
    <w:rsid w:val="00C906E1"/>
    <w:rsid w:val="00C90CBA"/>
    <w:rsid w:val="00C90F3C"/>
    <w:rsid w:val="00C9100E"/>
    <w:rsid w:val="00C9120D"/>
    <w:rsid w:val="00C91934"/>
    <w:rsid w:val="00C919AE"/>
    <w:rsid w:val="00C92088"/>
    <w:rsid w:val="00C921B8"/>
    <w:rsid w:val="00C9233C"/>
    <w:rsid w:val="00C926DA"/>
    <w:rsid w:val="00C92838"/>
    <w:rsid w:val="00C93318"/>
    <w:rsid w:val="00C93645"/>
    <w:rsid w:val="00C937A8"/>
    <w:rsid w:val="00C93A8A"/>
    <w:rsid w:val="00C93B4B"/>
    <w:rsid w:val="00C94108"/>
    <w:rsid w:val="00C94A83"/>
    <w:rsid w:val="00C94ADC"/>
    <w:rsid w:val="00C94C02"/>
    <w:rsid w:val="00C94FF0"/>
    <w:rsid w:val="00C9536E"/>
    <w:rsid w:val="00C95557"/>
    <w:rsid w:val="00C95667"/>
    <w:rsid w:val="00C9587F"/>
    <w:rsid w:val="00C95E7F"/>
    <w:rsid w:val="00C963FC"/>
    <w:rsid w:val="00C96849"/>
    <w:rsid w:val="00C96B47"/>
    <w:rsid w:val="00C97440"/>
    <w:rsid w:val="00C97480"/>
    <w:rsid w:val="00C97582"/>
    <w:rsid w:val="00C977F0"/>
    <w:rsid w:val="00C97AD6"/>
    <w:rsid w:val="00C97C45"/>
    <w:rsid w:val="00C97D88"/>
    <w:rsid w:val="00C97D8B"/>
    <w:rsid w:val="00CA038A"/>
    <w:rsid w:val="00CA06E1"/>
    <w:rsid w:val="00CA0FA2"/>
    <w:rsid w:val="00CA1B82"/>
    <w:rsid w:val="00CA1DBE"/>
    <w:rsid w:val="00CA22BE"/>
    <w:rsid w:val="00CA25C0"/>
    <w:rsid w:val="00CA33A0"/>
    <w:rsid w:val="00CA35BE"/>
    <w:rsid w:val="00CA4273"/>
    <w:rsid w:val="00CA4BC4"/>
    <w:rsid w:val="00CA51BF"/>
    <w:rsid w:val="00CA534F"/>
    <w:rsid w:val="00CA5361"/>
    <w:rsid w:val="00CA5597"/>
    <w:rsid w:val="00CA57B2"/>
    <w:rsid w:val="00CA57C1"/>
    <w:rsid w:val="00CA5E1F"/>
    <w:rsid w:val="00CA653A"/>
    <w:rsid w:val="00CA69F9"/>
    <w:rsid w:val="00CA6B4B"/>
    <w:rsid w:val="00CA728D"/>
    <w:rsid w:val="00CA733A"/>
    <w:rsid w:val="00CA785D"/>
    <w:rsid w:val="00CA78B1"/>
    <w:rsid w:val="00CA7FC5"/>
    <w:rsid w:val="00CB0111"/>
    <w:rsid w:val="00CB0918"/>
    <w:rsid w:val="00CB0A1B"/>
    <w:rsid w:val="00CB0DD4"/>
    <w:rsid w:val="00CB1EEF"/>
    <w:rsid w:val="00CB1EF0"/>
    <w:rsid w:val="00CB2150"/>
    <w:rsid w:val="00CB2302"/>
    <w:rsid w:val="00CB24A3"/>
    <w:rsid w:val="00CB2583"/>
    <w:rsid w:val="00CB2B6F"/>
    <w:rsid w:val="00CB2FF7"/>
    <w:rsid w:val="00CB305C"/>
    <w:rsid w:val="00CB30B5"/>
    <w:rsid w:val="00CB3638"/>
    <w:rsid w:val="00CB396C"/>
    <w:rsid w:val="00CB3B36"/>
    <w:rsid w:val="00CB3D8D"/>
    <w:rsid w:val="00CB402C"/>
    <w:rsid w:val="00CB4AE8"/>
    <w:rsid w:val="00CB4B50"/>
    <w:rsid w:val="00CB4E0C"/>
    <w:rsid w:val="00CB4EE9"/>
    <w:rsid w:val="00CB5519"/>
    <w:rsid w:val="00CB5CD2"/>
    <w:rsid w:val="00CB5EB0"/>
    <w:rsid w:val="00CB5EEE"/>
    <w:rsid w:val="00CB61A7"/>
    <w:rsid w:val="00CB66C8"/>
    <w:rsid w:val="00CB6C59"/>
    <w:rsid w:val="00CB7004"/>
    <w:rsid w:val="00CB70B3"/>
    <w:rsid w:val="00CB7201"/>
    <w:rsid w:val="00CB72E8"/>
    <w:rsid w:val="00CB732A"/>
    <w:rsid w:val="00CB73A7"/>
    <w:rsid w:val="00CB7A44"/>
    <w:rsid w:val="00CC0059"/>
    <w:rsid w:val="00CC00A3"/>
    <w:rsid w:val="00CC03C4"/>
    <w:rsid w:val="00CC0AD1"/>
    <w:rsid w:val="00CC0B00"/>
    <w:rsid w:val="00CC0B67"/>
    <w:rsid w:val="00CC0BFE"/>
    <w:rsid w:val="00CC0D6F"/>
    <w:rsid w:val="00CC116A"/>
    <w:rsid w:val="00CC1D5F"/>
    <w:rsid w:val="00CC1FA5"/>
    <w:rsid w:val="00CC24A6"/>
    <w:rsid w:val="00CC24F9"/>
    <w:rsid w:val="00CC2AD7"/>
    <w:rsid w:val="00CC2F87"/>
    <w:rsid w:val="00CC321F"/>
    <w:rsid w:val="00CC37D4"/>
    <w:rsid w:val="00CC3F44"/>
    <w:rsid w:val="00CC4387"/>
    <w:rsid w:val="00CC460C"/>
    <w:rsid w:val="00CC47E3"/>
    <w:rsid w:val="00CC4C47"/>
    <w:rsid w:val="00CC531B"/>
    <w:rsid w:val="00CC549B"/>
    <w:rsid w:val="00CC57EF"/>
    <w:rsid w:val="00CC5BF6"/>
    <w:rsid w:val="00CC5EF0"/>
    <w:rsid w:val="00CC665E"/>
    <w:rsid w:val="00CC6B90"/>
    <w:rsid w:val="00CC7DF7"/>
    <w:rsid w:val="00CD02C7"/>
    <w:rsid w:val="00CD096E"/>
    <w:rsid w:val="00CD0AF3"/>
    <w:rsid w:val="00CD1180"/>
    <w:rsid w:val="00CD19E4"/>
    <w:rsid w:val="00CD20C4"/>
    <w:rsid w:val="00CD2142"/>
    <w:rsid w:val="00CD23A5"/>
    <w:rsid w:val="00CD23EC"/>
    <w:rsid w:val="00CD25DA"/>
    <w:rsid w:val="00CD275E"/>
    <w:rsid w:val="00CD2860"/>
    <w:rsid w:val="00CD2E50"/>
    <w:rsid w:val="00CD3C4B"/>
    <w:rsid w:val="00CD3C71"/>
    <w:rsid w:val="00CD3DFF"/>
    <w:rsid w:val="00CD3F32"/>
    <w:rsid w:val="00CD43E4"/>
    <w:rsid w:val="00CD4C90"/>
    <w:rsid w:val="00CD567A"/>
    <w:rsid w:val="00CD5B96"/>
    <w:rsid w:val="00CD62F8"/>
    <w:rsid w:val="00CD6B42"/>
    <w:rsid w:val="00CD6ED6"/>
    <w:rsid w:val="00CD71B9"/>
    <w:rsid w:val="00CD732E"/>
    <w:rsid w:val="00CD798D"/>
    <w:rsid w:val="00CD7F55"/>
    <w:rsid w:val="00CE08CF"/>
    <w:rsid w:val="00CE0B02"/>
    <w:rsid w:val="00CE187C"/>
    <w:rsid w:val="00CE1E78"/>
    <w:rsid w:val="00CE2AEF"/>
    <w:rsid w:val="00CE2C79"/>
    <w:rsid w:val="00CE2C7A"/>
    <w:rsid w:val="00CE3153"/>
    <w:rsid w:val="00CE395B"/>
    <w:rsid w:val="00CE438A"/>
    <w:rsid w:val="00CE4599"/>
    <w:rsid w:val="00CE45E3"/>
    <w:rsid w:val="00CE473E"/>
    <w:rsid w:val="00CE49B8"/>
    <w:rsid w:val="00CE5533"/>
    <w:rsid w:val="00CE553C"/>
    <w:rsid w:val="00CE5746"/>
    <w:rsid w:val="00CE5BE7"/>
    <w:rsid w:val="00CE5F1B"/>
    <w:rsid w:val="00CE659A"/>
    <w:rsid w:val="00CE66F1"/>
    <w:rsid w:val="00CE6BF2"/>
    <w:rsid w:val="00CE6F4F"/>
    <w:rsid w:val="00CE7119"/>
    <w:rsid w:val="00CE769D"/>
    <w:rsid w:val="00CE770F"/>
    <w:rsid w:val="00CE77CE"/>
    <w:rsid w:val="00CF0383"/>
    <w:rsid w:val="00CF049A"/>
    <w:rsid w:val="00CF04A3"/>
    <w:rsid w:val="00CF0715"/>
    <w:rsid w:val="00CF0768"/>
    <w:rsid w:val="00CF09D0"/>
    <w:rsid w:val="00CF0A0A"/>
    <w:rsid w:val="00CF0EC0"/>
    <w:rsid w:val="00CF11FE"/>
    <w:rsid w:val="00CF1324"/>
    <w:rsid w:val="00CF140A"/>
    <w:rsid w:val="00CF1D4C"/>
    <w:rsid w:val="00CF1E98"/>
    <w:rsid w:val="00CF1FD0"/>
    <w:rsid w:val="00CF20BE"/>
    <w:rsid w:val="00CF21D0"/>
    <w:rsid w:val="00CF2388"/>
    <w:rsid w:val="00CF2418"/>
    <w:rsid w:val="00CF2597"/>
    <w:rsid w:val="00CF25CF"/>
    <w:rsid w:val="00CF2824"/>
    <w:rsid w:val="00CF2BDA"/>
    <w:rsid w:val="00CF396E"/>
    <w:rsid w:val="00CF3CD9"/>
    <w:rsid w:val="00CF42B3"/>
    <w:rsid w:val="00CF4788"/>
    <w:rsid w:val="00CF49DC"/>
    <w:rsid w:val="00CF4BDE"/>
    <w:rsid w:val="00CF5044"/>
    <w:rsid w:val="00CF560B"/>
    <w:rsid w:val="00CF5BAF"/>
    <w:rsid w:val="00CF6051"/>
    <w:rsid w:val="00CF62D2"/>
    <w:rsid w:val="00CF6B6A"/>
    <w:rsid w:val="00CF6E8C"/>
    <w:rsid w:val="00CF736E"/>
    <w:rsid w:val="00CF7389"/>
    <w:rsid w:val="00CF75B9"/>
    <w:rsid w:val="00CF760E"/>
    <w:rsid w:val="00CF77B7"/>
    <w:rsid w:val="00D00984"/>
    <w:rsid w:val="00D00F69"/>
    <w:rsid w:val="00D012CF"/>
    <w:rsid w:val="00D01399"/>
    <w:rsid w:val="00D01710"/>
    <w:rsid w:val="00D01C77"/>
    <w:rsid w:val="00D01DAF"/>
    <w:rsid w:val="00D020C8"/>
    <w:rsid w:val="00D02602"/>
    <w:rsid w:val="00D027AD"/>
    <w:rsid w:val="00D027DA"/>
    <w:rsid w:val="00D027DB"/>
    <w:rsid w:val="00D02B56"/>
    <w:rsid w:val="00D02CF3"/>
    <w:rsid w:val="00D030D6"/>
    <w:rsid w:val="00D033FA"/>
    <w:rsid w:val="00D03D01"/>
    <w:rsid w:val="00D047A8"/>
    <w:rsid w:val="00D04E3B"/>
    <w:rsid w:val="00D05E7D"/>
    <w:rsid w:val="00D05E8C"/>
    <w:rsid w:val="00D06598"/>
    <w:rsid w:val="00D06624"/>
    <w:rsid w:val="00D06651"/>
    <w:rsid w:val="00D06743"/>
    <w:rsid w:val="00D06B1C"/>
    <w:rsid w:val="00D06F75"/>
    <w:rsid w:val="00D07181"/>
    <w:rsid w:val="00D078BE"/>
    <w:rsid w:val="00D07C40"/>
    <w:rsid w:val="00D07D52"/>
    <w:rsid w:val="00D07EEE"/>
    <w:rsid w:val="00D103EE"/>
    <w:rsid w:val="00D107EB"/>
    <w:rsid w:val="00D10886"/>
    <w:rsid w:val="00D11593"/>
    <w:rsid w:val="00D11727"/>
    <w:rsid w:val="00D11BD6"/>
    <w:rsid w:val="00D11E08"/>
    <w:rsid w:val="00D11E58"/>
    <w:rsid w:val="00D12074"/>
    <w:rsid w:val="00D129B2"/>
    <w:rsid w:val="00D12CD5"/>
    <w:rsid w:val="00D131C9"/>
    <w:rsid w:val="00D131E0"/>
    <w:rsid w:val="00D13439"/>
    <w:rsid w:val="00D1353F"/>
    <w:rsid w:val="00D13789"/>
    <w:rsid w:val="00D13ABA"/>
    <w:rsid w:val="00D13C9A"/>
    <w:rsid w:val="00D13EEC"/>
    <w:rsid w:val="00D1420A"/>
    <w:rsid w:val="00D14737"/>
    <w:rsid w:val="00D1488F"/>
    <w:rsid w:val="00D1493B"/>
    <w:rsid w:val="00D14AED"/>
    <w:rsid w:val="00D14B46"/>
    <w:rsid w:val="00D15213"/>
    <w:rsid w:val="00D15547"/>
    <w:rsid w:val="00D15D6D"/>
    <w:rsid w:val="00D16287"/>
    <w:rsid w:val="00D16570"/>
    <w:rsid w:val="00D16A0E"/>
    <w:rsid w:val="00D171D0"/>
    <w:rsid w:val="00D17B7C"/>
    <w:rsid w:val="00D17C26"/>
    <w:rsid w:val="00D17CAA"/>
    <w:rsid w:val="00D17E16"/>
    <w:rsid w:val="00D17FCA"/>
    <w:rsid w:val="00D20553"/>
    <w:rsid w:val="00D20B4A"/>
    <w:rsid w:val="00D2172B"/>
    <w:rsid w:val="00D21B57"/>
    <w:rsid w:val="00D21C66"/>
    <w:rsid w:val="00D21CE6"/>
    <w:rsid w:val="00D21F21"/>
    <w:rsid w:val="00D221C3"/>
    <w:rsid w:val="00D222F1"/>
    <w:rsid w:val="00D22BF9"/>
    <w:rsid w:val="00D2325B"/>
    <w:rsid w:val="00D23BA9"/>
    <w:rsid w:val="00D23DCE"/>
    <w:rsid w:val="00D23E7A"/>
    <w:rsid w:val="00D24373"/>
    <w:rsid w:val="00D24749"/>
    <w:rsid w:val="00D24E08"/>
    <w:rsid w:val="00D25304"/>
    <w:rsid w:val="00D257E4"/>
    <w:rsid w:val="00D26115"/>
    <w:rsid w:val="00D26D10"/>
    <w:rsid w:val="00D26E5C"/>
    <w:rsid w:val="00D2737D"/>
    <w:rsid w:val="00D27488"/>
    <w:rsid w:val="00D27A56"/>
    <w:rsid w:val="00D27CB2"/>
    <w:rsid w:val="00D30406"/>
    <w:rsid w:val="00D308FA"/>
    <w:rsid w:val="00D30ACC"/>
    <w:rsid w:val="00D30D32"/>
    <w:rsid w:val="00D31500"/>
    <w:rsid w:val="00D31820"/>
    <w:rsid w:val="00D32128"/>
    <w:rsid w:val="00D32BB1"/>
    <w:rsid w:val="00D32C6F"/>
    <w:rsid w:val="00D32FA1"/>
    <w:rsid w:val="00D33BA7"/>
    <w:rsid w:val="00D344E9"/>
    <w:rsid w:val="00D34634"/>
    <w:rsid w:val="00D34E59"/>
    <w:rsid w:val="00D3540A"/>
    <w:rsid w:val="00D35811"/>
    <w:rsid w:val="00D35976"/>
    <w:rsid w:val="00D35B27"/>
    <w:rsid w:val="00D35CD8"/>
    <w:rsid w:val="00D36047"/>
    <w:rsid w:val="00D364FC"/>
    <w:rsid w:val="00D36957"/>
    <w:rsid w:val="00D36B92"/>
    <w:rsid w:val="00D36DF5"/>
    <w:rsid w:val="00D3716C"/>
    <w:rsid w:val="00D3739D"/>
    <w:rsid w:val="00D37480"/>
    <w:rsid w:val="00D37C79"/>
    <w:rsid w:val="00D37D92"/>
    <w:rsid w:val="00D37DEB"/>
    <w:rsid w:val="00D37F43"/>
    <w:rsid w:val="00D37F63"/>
    <w:rsid w:val="00D4040F"/>
    <w:rsid w:val="00D40628"/>
    <w:rsid w:val="00D40BF9"/>
    <w:rsid w:val="00D40C80"/>
    <w:rsid w:val="00D410D4"/>
    <w:rsid w:val="00D41C9B"/>
    <w:rsid w:val="00D420A7"/>
    <w:rsid w:val="00D42627"/>
    <w:rsid w:val="00D42903"/>
    <w:rsid w:val="00D436A9"/>
    <w:rsid w:val="00D43AEB"/>
    <w:rsid w:val="00D43F50"/>
    <w:rsid w:val="00D43FE6"/>
    <w:rsid w:val="00D44B05"/>
    <w:rsid w:val="00D45016"/>
    <w:rsid w:val="00D456CA"/>
    <w:rsid w:val="00D459D0"/>
    <w:rsid w:val="00D45ADA"/>
    <w:rsid w:val="00D45CB0"/>
    <w:rsid w:val="00D45ED9"/>
    <w:rsid w:val="00D4635C"/>
    <w:rsid w:val="00D46844"/>
    <w:rsid w:val="00D46EE2"/>
    <w:rsid w:val="00D47073"/>
    <w:rsid w:val="00D4727B"/>
    <w:rsid w:val="00D473AC"/>
    <w:rsid w:val="00D47B88"/>
    <w:rsid w:val="00D47C67"/>
    <w:rsid w:val="00D501A1"/>
    <w:rsid w:val="00D504FC"/>
    <w:rsid w:val="00D5063E"/>
    <w:rsid w:val="00D50E25"/>
    <w:rsid w:val="00D5139C"/>
    <w:rsid w:val="00D52342"/>
    <w:rsid w:val="00D52C6D"/>
    <w:rsid w:val="00D52EE8"/>
    <w:rsid w:val="00D53322"/>
    <w:rsid w:val="00D533BE"/>
    <w:rsid w:val="00D53405"/>
    <w:rsid w:val="00D53731"/>
    <w:rsid w:val="00D53CBC"/>
    <w:rsid w:val="00D541AD"/>
    <w:rsid w:val="00D542F4"/>
    <w:rsid w:val="00D546EF"/>
    <w:rsid w:val="00D54C50"/>
    <w:rsid w:val="00D55E5C"/>
    <w:rsid w:val="00D55EA0"/>
    <w:rsid w:val="00D56539"/>
    <w:rsid w:val="00D566B2"/>
    <w:rsid w:val="00D568E3"/>
    <w:rsid w:val="00D56EE1"/>
    <w:rsid w:val="00D571EB"/>
    <w:rsid w:val="00D5737C"/>
    <w:rsid w:val="00D57718"/>
    <w:rsid w:val="00D57F48"/>
    <w:rsid w:val="00D6016F"/>
    <w:rsid w:val="00D601BD"/>
    <w:rsid w:val="00D6032D"/>
    <w:rsid w:val="00D603B0"/>
    <w:rsid w:val="00D604E7"/>
    <w:rsid w:val="00D6055A"/>
    <w:rsid w:val="00D61328"/>
    <w:rsid w:val="00D61461"/>
    <w:rsid w:val="00D61597"/>
    <w:rsid w:val="00D61A36"/>
    <w:rsid w:val="00D61C38"/>
    <w:rsid w:val="00D61F14"/>
    <w:rsid w:val="00D62418"/>
    <w:rsid w:val="00D6255B"/>
    <w:rsid w:val="00D628AA"/>
    <w:rsid w:val="00D62A78"/>
    <w:rsid w:val="00D62D25"/>
    <w:rsid w:val="00D62D92"/>
    <w:rsid w:val="00D6352D"/>
    <w:rsid w:val="00D6367A"/>
    <w:rsid w:val="00D63ADE"/>
    <w:rsid w:val="00D63C25"/>
    <w:rsid w:val="00D63E38"/>
    <w:rsid w:val="00D63EFE"/>
    <w:rsid w:val="00D6417C"/>
    <w:rsid w:val="00D6417F"/>
    <w:rsid w:val="00D64213"/>
    <w:rsid w:val="00D6449B"/>
    <w:rsid w:val="00D6454D"/>
    <w:rsid w:val="00D64E55"/>
    <w:rsid w:val="00D6532E"/>
    <w:rsid w:val="00D65612"/>
    <w:rsid w:val="00D656CC"/>
    <w:rsid w:val="00D657DF"/>
    <w:rsid w:val="00D65994"/>
    <w:rsid w:val="00D65EF7"/>
    <w:rsid w:val="00D6637B"/>
    <w:rsid w:val="00D663CA"/>
    <w:rsid w:val="00D667D6"/>
    <w:rsid w:val="00D6694A"/>
    <w:rsid w:val="00D66DC6"/>
    <w:rsid w:val="00D672CA"/>
    <w:rsid w:val="00D67621"/>
    <w:rsid w:val="00D701A0"/>
    <w:rsid w:val="00D70FEA"/>
    <w:rsid w:val="00D713F7"/>
    <w:rsid w:val="00D71B64"/>
    <w:rsid w:val="00D71E3C"/>
    <w:rsid w:val="00D721A2"/>
    <w:rsid w:val="00D7234C"/>
    <w:rsid w:val="00D7275D"/>
    <w:rsid w:val="00D7299D"/>
    <w:rsid w:val="00D72AA4"/>
    <w:rsid w:val="00D72AAE"/>
    <w:rsid w:val="00D72AB2"/>
    <w:rsid w:val="00D73021"/>
    <w:rsid w:val="00D733F5"/>
    <w:rsid w:val="00D734A5"/>
    <w:rsid w:val="00D73760"/>
    <w:rsid w:val="00D745D2"/>
    <w:rsid w:val="00D745E6"/>
    <w:rsid w:val="00D7468C"/>
    <w:rsid w:val="00D74C88"/>
    <w:rsid w:val="00D755D3"/>
    <w:rsid w:val="00D758C6"/>
    <w:rsid w:val="00D75D05"/>
    <w:rsid w:val="00D764E0"/>
    <w:rsid w:val="00D76BC8"/>
    <w:rsid w:val="00D77263"/>
    <w:rsid w:val="00D77B14"/>
    <w:rsid w:val="00D77C9F"/>
    <w:rsid w:val="00D77E61"/>
    <w:rsid w:val="00D77F01"/>
    <w:rsid w:val="00D805A1"/>
    <w:rsid w:val="00D807FF"/>
    <w:rsid w:val="00D8114F"/>
    <w:rsid w:val="00D811CB"/>
    <w:rsid w:val="00D819CE"/>
    <w:rsid w:val="00D81B9E"/>
    <w:rsid w:val="00D82016"/>
    <w:rsid w:val="00D82725"/>
    <w:rsid w:val="00D8288B"/>
    <w:rsid w:val="00D82AFA"/>
    <w:rsid w:val="00D82D5C"/>
    <w:rsid w:val="00D83BE9"/>
    <w:rsid w:val="00D83BEC"/>
    <w:rsid w:val="00D84627"/>
    <w:rsid w:val="00D848E7"/>
    <w:rsid w:val="00D84944"/>
    <w:rsid w:val="00D84F67"/>
    <w:rsid w:val="00D85708"/>
    <w:rsid w:val="00D85E68"/>
    <w:rsid w:val="00D85E72"/>
    <w:rsid w:val="00D86465"/>
    <w:rsid w:val="00D865AA"/>
    <w:rsid w:val="00D86607"/>
    <w:rsid w:val="00D86E33"/>
    <w:rsid w:val="00D86E6D"/>
    <w:rsid w:val="00D87037"/>
    <w:rsid w:val="00D87203"/>
    <w:rsid w:val="00D874A5"/>
    <w:rsid w:val="00D878A1"/>
    <w:rsid w:val="00D87935"/>
    <w:rsid w:val="00D87B4D"/>
    <w:rsid w:val="00D90428"/>
    <w:rsid w:val="00D909B1"/>
    <w:rsid w:val="00D9187B"/>
    <w:rsid w:val="00D925A9"/>
    <w:rsid w:val="00D92935"/>
    <w:rsid w:val="00D92ED3"/>
    <w:rsid w:val="00D93762"/>
    <w:rsid w:val="00D937A6"/>
    <w:rsid w:val="00D9395A"/>
    <w:rsid w:val="00D93A46"/>
    <w:rsid w:val="00D93A6E"/>
    <w:rsid w:val="00D93AE0"/>
    <w:rsid w:val="00D93CB8"/>
    <w:rsid w:val="00D93D24"/>
    <w:rsid w:val="00D9400C"/>
    <w:rsid w:val="00D94591"/>
    <w:rsid w:val="00D95278"/>
    <w:rsid w:val="00D95C58"/>
    <w:rsid w:val="00D95DE0"/>
    <w:rsid w:val="00D95F0B"/>
    <w:rsid w:val="00D960E8"/>
    <w:rsid w:val="00D967A1"/>
    <w:rsid w:val="00D9722D"/>
    <w:rsid w:val="00D97435"/>
    <w:rsid w:val="00D9745C"/>
    <w:rsid w:val="00D9792F"/>
    <w:rsid w:val="00DA034B"/>
    <w:rsid w:val="00DA1A1F"/>
    <w:rsid w:val="00DA1B4B"/>
    <w:rsid w:val="00DA1C95"/>
    <w:rsid w:val="00DA2611"/>
    <w:rsid w:val="00DA28FC"/>
    <w:rsid w:val="00DA2AB7"/>
    <w:rsid w:val="00DA2DFE"/>
    <w:rsid w:val="00DA2F68"/>
    <w:rsid w:val="00DA3122"/>
    <w:rsid w:val="00DA3976"/>
    <w:rsid w:val="00DA3D51"/>
    <w:rsid w:val="00DA3F56"/>
    <w:rsid w:val="00DA41EE"/>
    <w:rsid w:val="00DA4389"/>
    <w:rsid w:val="00DA48B1"/>
    <w:rsid w:val="00DA50A9"/>
    <w:rsid w:val="00DA55DF"/>
    <w:rsid w:val="00DA57E1"/>
    <w:rsid w:val="00DA5B48"/>
    <w:rsid w:val="00DA5D95"/>
    <w:rsid w:val="00DA5F3C"/>
    <w:rsid w:val="00DA60A4"/>
    <w:rsid w:val="00DA67AB"/>
    <w:rsid w:val="00DA686B"/>
    <w:rsid w:val="00DA78BA"/>
    <w:rsid w:val="00DA7B2F"/>
    <w:rsid w:val="00DA7FA0"/>
    <w:rsid w:val="00DB03AF"/>
    <w:rsid w:val="00DB0F96"/>
    <w:rsid w:val="00DB13C7"/>
    <w:rsid w:val="00DB17DE"/>
    <w:rsid w:val="00DB1941"/>
    <w:rsid w:val="00DB1EAF"/>
    <w:rsid w:val="00DB2B71"/>
    <w:rsid w:val="00DB2BF7"/>
    <w:rsid w:val="00DB2C1E"/>
    <w:rsid w:val="00DB32D9"/>
    <w:rsid w:val="00DB355F"/>
    <w:rsid w:val="00DB3AC9"/>
    <w:rsid w:val="00DB3B7E"/>
    <w:rsid w:val="00DB40D3"/>
    <w:rsid w:val="00DB41BD"/>
    <w:rsid w:val="00DB42EF"/>
    <w:rsid w:val="00DB466B"/>
    <w:rsid w:val="00DB4881"/>
    <w:rsid w:val="00DB4B95"/>
    <w:rsid w:val="00DB4DD2"/>
    <w:rsid w:val="00DB4EBD"/>
    <w:rsid w:val="00DB51EF"/>
    <w:rsid w:val="00DB5393"/>
    <w:rsid w:val="00DB5D1A"/>
    <w:rsid w:val="00DB5D71"/>
    <w:rsid w:val="00DB617E"/>
    <w:rsid w:val="00DB6794"/>
    <w:rsid w:val="00DB679B"/>
    <w:rsid w:val="00DB6AFE"/>
    <w:rsid w:val="00DB7167"/>
    <w:rsid w:val="00DB7BA7"/>
    <w:rsid w:val="00DB7CC4"/>
    <w:rsid w:val="00DB7D65"/>
    <w:rsid w:val="00DC00F9"/>
    <w:rsid w:val="00DC0235"/>
    <w:rsid w:val="00DC0707"/>
    <w:rsid w:val="00DC0A33"/>
    <w:rsid w:val="00DC0DCE"/>
    <w:rsid w:val="00DC0FCD"/>
    <w:rsid w:val="00DC0FF6"/>
    <w:rsid w:val="00DC1218"/>
    <w:rsid w:val="00DC1514"/>
    <w:rsid w:val="00DC1634"/>
    <w:rsid w:val="00DC168F"/>
    <w:rsid w:val="00DC1836"/>
    <w:rsid w:val="00DC1A15"/>
    <w:rsid w:val="00DC1C4A"/>
    <w:rsid w:val="00DC20C5"/>
    <w:rsid w:val="00DC24E9"/>
    <w:rsid w:val="00DC269B"/>
    <w:rsid w:val="00DC269F"/>
    <w:rsid w:val="00DC2C96"/>
    <w:rsid w:val="00DC31FE"/>
    <w:rsid w:val="00DC32B5"/>
    <w:rsid w:val="00DC35F6"/>
    <w:rsid w:val="00DC379A"/>
    <w:rsid w:val="00DC3A4C"/>
    <w:rsid w:val="00DC40D8"/>
    <w:rsid w:val="00DC446B"/>
    <w:rsid w:val="00DC4481"/>
    <w:rsid w:val="00DC45E5"/>
    <w:rsid w:val="00DC4690"/>
    <w:rsid w:val="00DC4809"/>
    <w:rsid w:val="00DC49DB"/>
    <w:rsid w:val="00DC4CF3"/>
    <w:rsid w:val="00DC4F2F"/>
    <w:rsid w:val="00DC5579"/>
    <w:rsid w:val="00DC561E"/>
    <w:rsid w:val="00DC56AB"/>
    <w:rsid w:val="00DC5747"/>
    <w:rsid w:val="00DC5A93"/>
    <w:rsid w:val="00DC610E"/>
    <w:rsid w:val="00DC612D"/>
    <w:rsid w:val="00DC6F9C"/>
    <w:rsid w:val="00DC7A71"/>
    <w:rsid w:val="00DC7D3B"/>
    <w:rsid w:val="00DC7DDC"/>
    <w:rsid w:val="00DD04C8"/>
    <w:rsid w:val="00DD0AD9"/>
    <w:rsid w:val="00DD15AE"/>
    <w:rsid w:val="00DD15C2"/>
    <w:rsid w:val="00DD1B6B"/>
    <w:rsid w:val="00DD1E81"/>
    <w:rsid w:val="00DD1EAC"/>
    <w:rsid w:val="00DD2207"/>
    <w:rsid w:val="00DD228D"/>
    <w:rsid w:val="00DD23AB"/>
    <w:rsid w:val="00DD2689"/>
    <w:rsid w:val="00DD28EC"/>
    <w:rsid w:val="00DD2DF5"/>
    <w:rsid w:val="00DD35FA"/>
    <w:rsid w:val="00DD373B"/>
    <w:rsid w:val="00DD3DB1"/>
    <w:rsid w:val="00DD410E"/>
    <w:rsid w:val="00DD42B3"/>
    <w:rsid w:val="00DD4E79"/>
    <w:rsid w:val="00DD5233"/>
    <w:rsid w:val="00DD524A"/>
    <w:rsid w:val="00DD5476"/>
    <w:rsid w:val="00DD5A81"/>
    <w:rsid w:val="00DD5CC3"/>
    <w:rsid w:val="00DD5CC4"/>
    <w:rsid w:val="00DD5CE3"/>
    <w:rsid w:val="00DD5F38"/>
    <w:rsid w:val="00DD60CB"/>
    <w:rsid w:val="00DD6123"/>
    <w:rsid w:val="00DD6309"/>
    <w:rsid w:val="00DD7A34"/>
    <w:rsid w:val="00DE00E4"/>
    <w:rsid w:val="00DE02DE"/>
    <w:rsid w:val="00DE072B"/>
    <w:rsid w:val="00DE0897"/>
    <w:rsid w:val="00DE0DC8"/>
    <w:rsid w:val="00DE11E7"/>
    <w:rsid w:val="00DE12DA"/>
    <w:rsid w:val="00DE12FB"/>
    <w:rsid w:val="00DE1896"/>
    <w:rsid w:val="00DE1C18"/>
    <w:rsid w:val="00DE25F3"/>
    <w:rsid w:val="00DE290E"/>
    <w:rsid w:val="00DE2E10"/>
    <w:rsid w:val="00DE2E7E"/>
    <w:rsid w:val="00DE3084"/>
    <w:rsid w:val="00DE3200"/>
    <w:rsid w:val="00DE37A1"/>
    <w:rsid w:val="00DE3A55"/>
    <w:rsid w:val="00DE3B95"/>
    <w:rsid w:val="00DE4E42"/>
    <w:rsid w:val="00DE525E"/>
    <w:rsid w:val="00DE5F33"/>
    <w:rsid w:val="00DE6135"/>
    <w:rsid w:val="00DE6357"/>
    <w:rsid w:val="00DE6A95"/>
    <w:rsid w:val="00DE6F26"/>
    <w:rsid w:val="00DE75D9"/>
    <w:rsid w:val="00DE7765"/>
    <w:rsid w:val="00DE7ACD"/>
    <w:rsid w:val="00DF09CE"/>
    <w:rsid w:val="00DF0D68"/>
    <w:rsid w:val="00DF11E5"/>
    <w:rsid w:val="00DF1445"/>
    <w:rsid w:val="00DF15ED"/>
    <w:rsid w:val="00DF162F"/>
    <w:rsid w:val="00DF19D7"/>
    <w:rsid w:val="00DF1A2F"/>
    <w:rsid w:val="00DF1C86"/>
    <w:rsid w:val="00DF1C93"/>
    <w:rsid w:val="00DF2054"/>
    <w:rsid w:val="00DF2DAA"/>
    <w:rsid w:val="00DF34E1"/>
    <w:rsid w:val="00DF3EAC"/>
    <w:rsid w:val="00DF4060"/>
    <w:rsid w:val="00DF4E48"/>
    <w:rsid w:val="00DF4E84"/>
    <w:rsid w:val="00DF579D"/>
    <w:rsid w:val="00DF5C8C"/>
    <w:rsid w:val="00DF6638"/>
    <w:rsid w:val="00DF69B6"/>
    <w:rsid w:val="00DF6DA4"/>
    <w:rsid w:val="00DF6DFE"/>
    <w:rsid w:val="00DF7296"/>
    <w:rsid w:val="00DF7A5D"/>
    <w:rsid w:val="00E003E5"/>
    <w:rsid w:val="00E00434"/>
    <w:rsid w:val="00E00B4F"/>
    <w:rsid w:val="00E00E96"/>
    <w:rsid w:val="00E010D6"/>
    <w:rsid w:val="00E0151B"/>
    <w:rsid w:val="00E019B8"/>
    <w:rsid w:val="00E01BE3"/>
    <w:rsid w:val="00E01E77"/>
    <w:rsid w:val="00E02715"/>
    <w:rsid w:val="00E0273B"/>
    <w:rsid w:val="00E02CEB"/>
    <w:rsid w:val="00E02ED5"/>
    <w:rsid w:val="00E02F0C"/>
    <w:rsid w:val="00E036C3"/>
    <w:rsid w:val="00E039F7"/>
    <w:rsid w:val="00E03EA4"/>
    <w:rsid w:val="00E040D9"/>
    <w:rsid w:val="00E0420F"/>
    <w:rsid w:val="00E045EC"/>
    <w:rsid w:val="00E04644"/>
    <w:rsid w:val="00E04B97"/>
    <w:rsid w:val="00E04D37"/>
    <w:rsid w:val="00E04DC9"/>
    <w:rsid w:val="00E04E20"/>
    <w:rsid w:val="00E04E2E"/>
    <w:rsid w:val="00E04F5D"/>
    <w:rsid w:val="00E05130"/>
    <w:rsid w:val="00E05280"/>
    <w:rsid w:val="00E0561A"/>
    <w:rsid w:val="00E05A3E"/>
    <w:rsid w:val="00E05C4B"/>
    <w:rsid w:val="00E05DC3"/>
    <w:rsid w:val="00E06582"/>
    <w:rsid w:val="00E06859"/>
    <w:rsid w:val="00E06AED"/>
    <w:rsid w:val="00E06F84"/>
    <w:rsid w:val="00E0735A"/>
    <w:rsid w:val="00E076D4"/>
    <w:rsid w:val="00E07954"/>
    <w:rsid w:val="00E079E5"/>
    <w:rsid w:val="00E07B26"/>
    <w:rsid w:val="00E07BCD"/>
    <w:rsid w:val="00E101B1"/>
    <w:rsid w:val="00E106AB"/>
    <w:rsid w:val="00E11081"/>
    <w:rsid w:val="00E11098"/>
    <w:rsid w:val="00E11240"/>
    <w:rsid w:val="00E115C9"/>
    <w:rsid w:val="00E1165B"/>
    <w:rsid w:val="00E11B89"/>
    <w:rsid w:val="00E1216B"/>
    <w:rsid w:val="00E12392"/>
    <w:rsid w:val="00E128D2"/>
    <w:rsid w:val="00E12971"/>
    <w:rsid w:val="00E12D23"/>
    <w:rsid w:val="00E133D9"/>
    <w:rsid w:val="00E137E6"/>
    <w:rsid w:val="00E13A8D"/>
    <w:rsid w:val="00E14032"/>
    <w:rsid w:val="00E142CB"/>
    <w:rsid w:val="00E14880"/>
    <w:rsid w:val="00E149D2"/>
    <w:rsid w:val="00E14EBC"/>
    <w:rsid w:val="00E14FB0"/>
    <w:rsid w:val="00E153AA"/>
    <w:rsid w:val="00E1559B"/>
    <w:rsid w:val="00E15629"/>
    <w:rsid w:val="00E157BC"/>
    <w:rsid w:val="00E15DB0"/>
    <w:rsid w:val="00E15EE6"/>
    <w:rsid w:val="00E1602A"/>
    <w:rsid w:val="00E16424"/>
    <w:rsid w:val="00E165E6"/>
    <w:rsid w:val="00E16B76"/>
    <w:rsid w:val="00E16E96"/>
    <w:rsid w:val="00E17079"/>
    <w:rsid w:val="00E171FD"/>
    <w:rsid w:val="00E172BA"/>
    <w:rsid w:val="00E1735D"/>
    <w:rsid w:val="00E17D93"/>
    <w:rsid w:val="00E2062F"/>
    <w:rsid w:val="00E20D02"/>
    <w:rsid w:val="00E20D91"/>
    <w:rsid w:val="00E21410"/>
    <w:rsid w:val="00E215BE"/>
    <w:rsid w:val="00E21B06"/>
    <w:rsid w:val="00E21C8E"/>
    <w:rsid w:val="00E21F18"/>
    <w:rsid w:val="00E22206"/>
    <w:rsid w:val="00E223E2"/>
    <w:rsid w:val="00E22909"/>
    <w:rsid w:val="00E22A16"/>
    <w:rsid w:val="00E23B19"/>
    <w:rsid w:val="00E23C31"/>
    <w:rsid w:val="00E23D6B"/>
    <w:rsid w:val="00E23F4B"/>
    <w:rsid w:val="00E2407A"/>
    <w:rsid w:val="00E24D00"/>
    <w:rsid w:val="00E2523C"/>
    <w:rsid w:val="00E25305"/>
    <w:rsid w:val="00E25879"/>
    <w:rsid w:val="00E259C3"/>
    <w:rsid w:val="00E259C9"/>
    <w:rsid w:val="00E25BE4"/>
    <w:rsid w:val="00E25CD5"/>
    <w:rsid w:val="00E26057"/>
    <w:rsid w:val="00E261E4"/>
    <w:rsid w:val="00E26406"/>
    <w:rsid w:val="00E26DD3"/>
    <w:rsid w:val="00E27A3C"/>
    <w:rsid w:val="00E301B4"/>
    <w:rsid w:val="00E3029A"/>
    <w:rsid w:val="00E30D26"/>
    <w:rsid w:val="00E31F00"/>
    <w:rsid w:val="00E3204C"/>
    <w:rsid w:val="00E331BD"/>
    <w:rsid w:val="00E33D9C"/>
    <w:rsid w:val="00E342A7"/>
    <w:rsid w:val="00E34323"/>
    <w:rsid w:val="00E3461F"/>
    <w:rsid w:val="00E347B2"/>
    <w:rsid w:val="00E34F66"/>
    <w:rsid w:val="00E3541F"/>
    <w:rsid w:val="00E354BF"/>
    <w:rsid w:val="00E354E3"/>
    <w:rsid w:val="00E3567D"/>
    <w:rsid w:val="00E35A46"/>
    <w:rsid w:val="00E360EB"/>
    <w:rsid w:val="00E36351"/>
    <w:rsid w:val="00E363BF"/>
    <w:rsid w:val="00E3673A"/>
    <w:rsid w:val="00E37514"/>
    <w:rsid w:val="00E37D23"/>
    <w:rsid w:val="00E40E46"/>
    <w:rsid w:val="00E40EEA"/>
    <w:rsid w:val="00E41A9C"/>
    <w:rsid w:val="00E41C19"/>
    <w:rsid w:val="00E41E27"/>
    <w:rsid w:val="00E41F77"/>
    <w:rsid w:val="00E429F0"/>
    <w:rsid w:val="00E42A6C"/>
    <w:rsid w:val="00E42B58"/>
    <w:rsid w:val="00E42B90"/>
    <w:rsid w:val="00E4323D"/>
    <w:rsid w:val="00E432E4"/>
    <w:rsid w:val="00E440E7"/>
    <w:rsid w:val="00E44672"/>
    <w:rsid w:val="00E446BC"/>
    <w:rsid w:val="00E45062"/>
    <w:rsid w:val="00E45738"/>
    <w:rsid w:val="00E45CC8"/>
    <w:rsid w:val="00E45E82"/>
    <w:rsid w:val="00E4630F"/>
    <w:rsid w:val="00E46B43"/>
    <w:rsid w:val="00E47957"/>
    <w:rsid w:val="00E47DFE"/>
    <w:rsid w:val="00E506EC"/>
    <w:rsid w:val="00E50AE1"/>
    <w:rsid w:val="00E513D1"/>
    <w:rsid w:val="00E51425"/>
    <w:rsid w:val="00E518F2"/>
    <w:rsid w:val="00E519F5"/>
    <w:rsid w:val="00E51BE5"/>
    <w:rsid w:val="00E51FBE"/>
    <w:rsid w:val="00E521A8"/>
    <w:rsid w:val="00E52531"/>
    <w:rsid w:val="00E5283B"/>
    <w:rsid w:val="00E5292F"/>
    <w:rsid w:val="00E529F4"/>
    <w:rsid w:val="00E52ED1"/>
    <w:rsid w:val="00E52F4C"/>
    <w:rsid w:val="00E52F9A"/>
    <w:rsid w:val="00E531E4"/>
    <w:rsid w:val="00E5367F"/>
    <w:rsid w:val="00E53BA5"/>
    <w:rsid w:val="00E54260"/>
    <w:rsid w:val="00E5480C"/>
    <w:rsid w:val="00E549D2"/>
    <w:rsid w:val="00E54E9F"/>
    <w:rsid w:val="00E554CA"/>
    <w:rsid w:val="00E5556D"/>
    <w:rsid w:val="00E55727"/>
    <w:rsid w:val="00E55A08"/>
    <w:rsid w:val="00E55ACB"/>
    <w:rsid w:val="00E563C4"/>
    <w:rsid w:val="00E56B88"/>
    <w:rsid w:val="00E56CA6"/>
    <w:rsid w:val="00E578CF"/>
    <w:rsid w:val="00E57C0E"/>
    <w:rsid w:val="00E57CEC"/>
    <w:rsid w:val="00E57E32"/>
    <w:rsid w:val="00E57E88"/>
    <w:rsid w:val="00E57F17"/>
    <w:rsid w:val="00E6008D"/>
    <w:rsid w:val="00E61780"/>
    <w:rsid w:val="00E6182D"/>
    <w:rsid w:val="00E61A03"/>
    <w:rsid w:val="00E61B02"/>
    <w:rsid w:val="00E61D89"/>
    <w:rsid w:val="00E61D97"/>
    <w:rsid w:val="00E61F6B"/>
    <w:rsid w:val="00E62201"/>
    <w:rsid w:val="00E62D23"/>
    <w:rsid w:val="00E62DA1"/>
    <w:rsid w:val="00E62E0A"/>
    <w:rsid w:val="00E63147"/>
    <w:rsid w:val="00E6380B"/>
    <w:rsid w:val="00E643CC"/>
    <w:rsid w:val="00E64F73"/>
    <w:rsid w:val="00E65CAF"/>
    <w:rsid w:val="00E6656C"/>
    <w:rsid w:val="00E66945"/>
    <w:rsid w:val="00E66BAD"/>
    <w:rsid w:val="00E6758A"/>
    <w:rsid w:val="00E67711"/>
    <w:rsid w:val="00E67AE6"/>
    <w:rsid w:val="00E67E76"/>
    <w:rsid w:val="00E70038"/>
    <w:rsid w:val="00E70136"/>
    <w:rsid w:val="00E706C8"/>
    <w:rsid w:val="00E70C93"/>
    <w:rsid w:val="00E71512"/>
    <w:rsid w:val="00E715F5"/>
    <w:rsid w:val="00E71B90"/>
    <w:rsid w:val="00E71BFA"/>
    <w:rsid w:val="00E720A6"/>
    <w:rsid w:val="00E72308"/>
    <w:rsid w:val="00E7249E"/>
    <w:rsid w:val="00E7276B"/>
    <w:rsid w:val="00E72C9A"/>
    <w:rsid w:val="00E747DE"/>
    <w:rsid w:val="00E7491C"/>
    <w:rsid w:val="00E74D2C"/>
    <w:rsid w:val="00E754EB"/>
    <w:rsid w:val="00E757E2"/>
    <w:rsid w:val="00E759CD"/>
    <w:rsid w:val="00E75B4B"/>
    <w:rsid w:val="00E75C5D"/>
    <w:rsid w:val="00E75C95"/>
    <w:rsid w:val="00E75D38"/>
    <w:rsid w:val="00E76225"/>
    <w:rsid w:val="00E76283"/>
    <w:rsid w:val="00E766B5"/>
    <w:rsid w:val="00E76712"/>
    <w:rsid w:val="00E76AB7"/>
    <w:rsid w:val="00E7764D"/>
    <w:rsid w:val="00E7773E"/>
    <w:rsid w:val="00E778E1"/>
    <w:rsid w:val="00E778F9"/>
    <w:rsid w:val="00E7792C"/>
    <w:rsid w:val="00E77B2B"/>
    <w:rsid w:val="00E77BAD"/>
    <w:rsid w:val="00E77FCB"/>
    <w:rsid w:val="00E80064"/>
    <w:rsid w:val="00E80523"/>
    <w:rsid w:val="00E809DE"/>
    <w:rsid w:val="00E80A95"/>
    <w:rsid w:val="00E81194"/>
    <w:rsid w:val="00E81358"/>
    <w:rsid w:val="00E8153F"/>
    <w:rsid w:val="00E8163A"/>
    <w:rsid w:val="00E8167D"/>
    <w:rsid w:val="00E818F2"/>
    <w:rsid w:val="00E81945"/>
    <w:rsid w:val="00E81976"/>
    <w:rsid w:val="00E81E2D"/>
    <w:rsid w:val="00E83797"/>
    <w:rsid w:val="00E83DF5"/>
    <w:rsid w:val="00E83EDE"/>
    <w:rsid w:val="00E83F10"/>
    <w:rsid w:val="00E84574"/>
    <w:rsid w:val="00E84DBD"/>
    <w:rsid w:val="00E85415"/>
    <w:rsid w:val="00E85575"/>
    <w:rsid w:val="00E855F8"/>
    <w:rsid w:val="00E85818"/>
    <w:rsid w:val="00E859D8"/>
    <w:rsid w:val="00E87877"/>
    <w:rsid w:val="00E903E8"/>
    <w:rsid w:val="00E90621"/>
    <w:rsid w:val="00E90910"/>
    <w:rsid w:val="00E90C73"/>
    <w:rsid w:val="00E91099"/>
    <w:rsid w:val="00E91139"/>
    <w:rsid w:val="00E917BC"/>
    <w:rsid w:val="00E917EB"/>
    <w:rsid w:val="00E92A5B"/>
    <w:rsid w:val="00E92C1E"/>
    <w:rsid w:val="00E9323A"/>
    <w:rsid w:val="00E93719"/>
    <w:rsid w:val="00E93A32"/>
    <w:rsid w:val="00E93F16"/>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1C20"/>
    <w:rsid w:val="00EA2220"/>
    <w:rsid w:val="00EA27A8"/>
    <w:rsid w:val="00EA2FBF"/>
    <w:rsid w:val="00EA373F"/>
    <w:rsid w:val="00EA3964"/>
    <w:rsid w:val="00EA3B26"/>
    <w:rsid w:val="00EA3FF0"/>
    <w:rsid w:val="00EA40C3"/>
    <w:rsid w:val="00EA46C8"/>
    <w:rsid w:val="00EA484B"/>
    <w:rsid w:val="00EA4F65"/>
    <w:rsid w:val="00EA58C0"/>
    <w:rsid w:val="00EA5C4A"/>
    <w:rsid w:val="00EA6634"/>
    <w:rsid w:val="00EA67BA"/>
    <w:rsid w:val="00EA702F"/>
    <w:rsid w:val="00EA744B"/>
    <w:rsid w:val="00EA74F0"/>
    <w:rsid w:val="00EA7D8A"/>
    <w:rsid w:val="00EB028F"/>
    <w:rsid w:val="00EB03EC"/>
    <w:rsid w:val="00EB040F"/>
    <w:rsid w:val="00EB161E"/>
    <w:rsid w:val="00EB1FC2"/>
    <w:rsid w:val="00EB1FEB"/>
    <w:rsid w:val="00EB201B"/>
    <w:rsid w:val="00EB20AD"/>
    <w:rsid w:val="00EB2204"/>
    <w:rsid w:val="00EB3094"/>
    <w:rsid w:val="00EB30AB"/>
    <w:rsid w:val="00EB3293"/>
    <w:rsid w:val="00EB39E2"/>
    <w:rsid w:val="00EB41E7"/>
    <w:rsid w:val="00EB41EB"/>
    <w:rsid w:val="00EB422C"/>
    <w:rsid w:val="00EB446C"/>
    <w:rsid w:val="00EB476F"/>
    <w:rsid w:val="00EB4876"/>
    <w:rsid w:val="00EB4D46"/>
    <w:rsid w:val="00EB4DC3"/>
    <w:rsid w:val="00EB5065"/>
    <w:rsid w:val="00EB5350"/>
    <w:rsid w:val="00EB595A"/>
    <w:rsid w:val="00EB5FE0"/>
    <w:rsid w:val="00EB5FFD"/>
    <w:rsid w:val="00EB61E7"/>
    <w:rsid w:val="00EB61F7"/>
    <w:rsid w:val="00EB631E"/>
    <w:rsid w:val="00EB6B12"/>
    <w:rsid w:val="00EB6F2C"/>
    <w:rsid w:val="00EB73CC"/>
    <w:rsid w:val="00EB755A"/>
    <w:rsid w:val="00EB79AF"/>
    <w:rsid w:val="00EB7C59"/>
    <w:rsid w:val="00EB7CD6"/>
    <w:rsid w:val="00EC00B9"/>
    <w:rsid w:val="00EC0947"/>
    <w:rsid w:val="00EC0F67"/>
    <w:rsid w:val="00EC0FA5"/>
    <w:rsid w:val="00EC1243"/>
    <w:rsid w:val="00EC1767"/>
    <w:rsid w:val="00EC1B59"/>
    <w:rsid w:val="00EC1C6C"/>
    <w:rsid w:val="00EC1DB5"/>
    <w:rsid w:val="00EC1E4F"/>
    <w:rsid w:val="00EC2372"/>
    <w:rsid w:val="00EC2BD8"/>
    <w:rsid w:val="00EC2E2A"/>
    <w:rsid w:val="00EC2E47"/>
    <w:rsid w:val="00EC3285"/>
    <w:rsid w:val="00EC3338"/>
    <w:rsid w:val="00EC3BEF"/>
    <w:rsid w:val="00EC3D0C"/>
    <w:rsid w:val="00EC4692"/>
    <w:rsid w:val="00EC497D"/>
    <w:rsid w:val="00EC4B33"/>
    <w:rsid w:val="00EC4B7F"/>
    <w:rsid w:val="00EC4C97"/>
    <w:rsid w:val="00EC5A74"/>
    <w:rsid w:val="00EC658B"/>
    <w:rsid w:val="00EC686A"/>
    <w:rsid w:val="00EC6D2A"/>
    <w:rsid w:val="00EC773A"/>
    <w:rsid w:val="00ED03D6"/>
    <w:rsid w:val="00ED0629"/>
    <w:rsid w:val="00ED106B"/>
    <w:rsid w:val="00ED113E"/>
    <w:rsid w:val="00ED1D25"/>
    <w:rsid w:val="00ED25B4"/>
    <w:rsid w:val="00ED277E"/>
    <w:rsid w:val="00ED27F7"/>
    <w:rsid w:val="00ED2946"/>
    <w:rsid w:val="00ED2C32"/>
    <w:rsid w:val="00ED2C89"/>
    <w:rsid w:val="00ED2D02"/>
    <w:rsid w:val="00ED2D6A"/>
    <w:rsid w:val="00ED2DA0"/>
    <w:rsid w:val="00ED31AD"/>
    <w:rsid w:val="00ED3760"/>
    <w:rsid w:val="00ED3A33"/>
    <w:rsid w:val="00ED3D27"/>
    <w:rsid w:val="00ED425C"/>
    <w:rsid w:val="00ED45D6"/>
    <w:rsid w:val="00ED49AE"/>
    <w:rsid w:val="00ED4FC7"/>
    <w:rsid w:val="00ED5207"/>
    <w:rsid w:val="00ED5569"/>
    <w:rsid w:val="00ED55F2"/>
    <w:rsid w:val="00ED563B"/>
    <w:rsid w:val="00ED5868"/>
    <w:rsid w:val="00ED5FD9"/>
    <w:rsid w:val="00ED6111"/>
    <w:rsid w:val="00ED62FF"/>
    <w:rsid w:val="00ED649F"/>
    <w:rsid w:val="00ED6E86"/>
    <w:rsid w:val="00ED701A"/>
    <w:rsid w:val="00ED7081"/>
    <w:rsid w:val="00ED7223"/>
    <w:rsid w:val="00ED7441"/>
    <w:rsid w:val="00ED7488"/>
    <w:rsid w:val="00ED7C43"/>
    <w:rsid w:val="00ED7CEF"/>
    <w:rsid w:val="00EE0A27"/>
    <w:rsid w:val="00EE0D1F"/>
    <w:rsid w:val="00EE0F38"/>
    <w:rsid w:val="00EE177C"/>
    <w:rsid w:val="00EE1CA5"/>
    <w:rsid w:val="00EE1F09"/>
    <w:rsid w:val="00EE2A1E"/>
    <w:rsid w:val="00EE2CAF"/>
    <w:rsid w:val="00EE31EB"/>
    <w:rsid w:val="00EE3648"/>
    <w:rsid w:val="00EE3DFB"/>
    <w:rsid w:val="00EE3EA1"/>
    <w:rsid w:val="00EE4ACC"/>
    <w:rsid w:val="00EE4EF4"/>
    <w:rsid w:val="00EE5618"/>
    <w:rsid w:val="00EE6478"/>
    <w:rsid w:val="00EE6787"/>
    <w:rsid w:val="00EE68AC"/>
    <w:rsid w:val="00EE6959"/>
    <w:rsid w:val="00EE6C4B"/>
    <w:rsid w:val="00EE7035"/>
    <w:rsid w:val="00EE78FA"/>
    <w:rsid w:val="00EE7B2B"/>
    <w:rsid w:val="00EE7B6D"/>
    <w:rsid w:val="00EF0092"/>
    <w:rsid w:val="00EF02E9"/>
    <w:rsid w:val="00EF0439"/>
    <w:rsid w:val="00EF0B07"/>
    <w:rsid w:val="00EF0D31"/>
    <w:rsid w:val="00EF0ED4"/>
    <w:rsid w:val="00EF1319"/>
    <w:rsid w:val="00EF160B"/>
    <w:rsid w:val="00EF1C85"/>
    <w:rsid w:val="00EF2375"/>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56B"/>
    <w:rsid w:val="00EF66FC"/>
    <w:rsid w:val="00EF687C"/>
    <w:rsid w:val="00EF6DDF"/>
    <w:rsid w:val="00EF706B"/>
    <w:rsid w:val="00EF712A"/>
    <w:rsid w:val="00EF7377"/>
    <w:rsid w:val="00EF7724"/>
    <w:rsid w:val="00EF7BE6"/>
    <w:rsid w:val="00EF7D3F"/>
    <w:rsid w:val="00F00040"/>
    <w:rsid w:val="00F0015E"/>
    <w:rsid w:val="00F00382"/>
    <w:rsid w:val="00F00441"/>
    <w:rsid w:val="00F00579"/>
    <w:rsid w:val="00F011FD"/>
    <w:rsid w:val="00F012E1"/>
    <w:rsid w:val="00F016E7"/>
    <w:rsid w:val="00F017B8"/>
    <w:rsid w:val="00F01BFC"/>
    <w:rsid w:val="00F02638"/>
    <w:rsid w:val="00F026E9"/>
    <w:rsid w:val="00F02B4E"/>
    <w:rsid w:val="00F02C23"/>
    <w:rsid w:val="00F02C66"/>
    <w:rsid w:val="00F0303F"/>
    <w:rsid w:val="00F031AE"/>
    <w:rsid w:val="00F03340"/>
    <w:rsid w:val="00F03394"/>
    <w:rsid w:val="00F0420E"/>
    <w:rsid w:val="00F042BF"/>
    <w:rsid w:val="00F052FD"/>
    <w:rsid w:val="00F054EE"/>
    <w:rsid w:val="00F057A7"/>
    <w:rsid w:val="00F057CC"/>
    <w:rsid w:val="00F05838"/>
    <w:rsid w:val="00F059C3"/>
    <w:rsid w:val="00F05E0B"/>
    <w:rsid w:val="00F05ECF"/>
    <w:rsid w:val="00F064BD"/>
    <w:rsid w:val="00F064E3"/>
    <w:rsid w:val="00F0666F"/>
    <w:rsid w:val="00F06981"/>
    <w:rsid w:val="00F06E94"/>
    <w:rsid w:val="00F1018B"/>
    <w:rsid w:val="00F103E6"/>
    <w:rsid w:val="00F104A5"/>
    <w:rsid w:val="00F105BC"/>
    <w:rsid w:val="00F108D6"/>
    <w:rsid w:val="00F10B0F"/>
    <w:rsid w:val="00F10CD9"/>
    <w:rsid w:val="00F10FBD"/>
    <w:rsid w:val="00F11371"/>
    <w:rsid w:val="00F11433"/>
    <w:rsid w:val="00F114D3"/>
    <w:rsid w:val="00F12382"/>
    <w:rsid w:val="00F12568"/>
    <w:rsid w:val="00F132B6"/>
    <w:rsid w:val="00F132D4"/>
    <w:rsid w:val="00F1341A"/>
    <w:rsid w:val="00F136DC"/>
    <w:rsid w:val="00F13E60"/>
    <w:rsid w:val="00F13FA2"/>
    <w:rsid w:val="00F14950"/>
    <w:rsid w:val="00F1497A"/>
    <w:rsid w:val="00F14A25"/>
    <w:rsid w:val="00F14C04"/>
    <w:rsid w:val="00F14CE5"/>
    <w:rsid w:val="00F15103"/>
    <w:rsid w:val="00F15440"/>
    <w:rsid w:val="00F1552F"/>
    <w:rsid w:val="00F15A97"/>
    <w:rsid w:val="00F15AD2"/>
    <w:rsid w:val="00F15AFF"/>
    <w:rsid w:val="00F15F5B"/>
    <w:rsid w:val="00F160B7"/>
    <w:rsid w:val="00F16DEE"/>
    <w:rsid w:val="00F1723B"/>
    <w:rsid w:val="00F17713"/>
    <w:rsid w:val="00F17798"/>
    <w:rsid w:val="00F17A0C"/>
    <w:rsid w:val="00F17D39"/>
    <w:rsid w:val="00F17E53"/>
    <w:rsid w:val="00F2062B"/>
    <w:rsid w:val="00F209A1"/>
    <w:rsid w:val="00F20C55"/>
    <w:rsid w:val="00F21B8D"/>
    <w:rsid w:val="00F21BED"/>
    <w:rsid w:val="00F21CC2"/>
    <w:rsid w:val="00F21EEC"/>
    <w:rsid w:val="00F21F02"/>
    <w:rsid w:val="00F21FD0"/>
    <w:rsid w:val="00F220D6"/>
    <w:rsid w:val="00F224F8"/>
    <w:rsid w:val="00F2294C"/>
    <w:rsid w:val="00F22C8D"/>
    <w:rsid w:val="00F23034"/>
    <w:rsid w:val="00F230E2"/>
    <w:rsid w:val="00F23462"/>
    <w:rsid w:val="00F23870"/>
    <w:rsid w:val="00F23947"/>
    <w:rsid w:val="00F23ED7"/>
    <w:rsid w:val="00F2465A"/>
    <w:rsid w:val="00F247E2"/>
    <w:rsid w:val="00F24969"/>
    <w:rsid w:val="00F24B9C"/>
    <w:rsid w:val="00F24BB6"/>
    <w:rsid w:val="00F24BFB"/>
    <w:rsid w:val="00F24F3A"/>
    <w:rsid w:val="00F24F92"/>
    <w:rsid w:val="00F2520D"/>
    <w:rsid w:val="00F258A7"/>
    <w:rsid w:val="00F25D47"/>
    <w:rsid w:val="00F26076"/>
    <w:rsid w:val="00F263AE"/>
    <w:rsid w:val="00F264F4"/>
    <w:rsid w:val="00F266ED"/>
    <w:rsid w:val="00F27617"/>
    <w:rsid w:val="00F27831"/>
    <w:rsid w:val="00F27BAB"/>
    <w:rsid w:val="00F27BDD"/>
    <w:rsid w:val="00F27C30"/>
    <w:rsid w:val="00F30084"/>
    <w:rsid w:val="00F302B7"/>
    <w:rsid w:val="00F30300"/>
    <w:rsid w:val="00F30BF9"/>
    <w:rsid w:val="00F30E17"/>
    <w:rsid w:val="00F30EC5"/>
    <w:rsid w:val="00F31096"/>
    <w:rsid w:val="00F318A5"/>
    <w:rsid w:val="00F31A5C"/>
    <w:rsid w:val="00F31F0B"/>
    <w:rsid w:val="00F320FD"/>
    <w:rsid w:val="00F3214F"/>
    <w:rsid w:val="00F32478"/>
    <w:rsid w:val="00F32CD8"/>
    <w:rsid w:val="00F32F5E"/>
    <w:rsid w:val="00F33687"/>
    <w:rsid w:val="00F337D8"/>
    <w:rsid w:val="00F33C94"/>
    <w:rsid w:val="00F34288"/>
    <w:rsid w:val="00F35626"/>
    <w:rsid w:val="00F359F7"/>
    <w:rsid w:val="00F36150"/>
    <w:rsid w:val="00F364D8"/>
    <w:rsid w:val="00F36544"/>
    <w:rsid w:val="00F36D90"/>
    <w:rsid w:val="00F370D0"/>
    <w:rsid w:val="00F37252"/>
    <w:rsid w:val="00F373B2"/>
    <w:rsid w:val="00F37432"/>
    <w:rsid w:val="00F374BF"/>
    <w:rsid w:val="00F375FC"/>
    <w:rsid w:val="00F37A7A"/>
    <w:rsid w:val="00F37B2B"/>
    <w:rsid w:val="00F37FF4"/>
    <w:rsid w:val="00F401EC"/>
    <w:rsid w:val="00F410EE"/>
    <w:rsid w:val="00F41760"/>
    <w:rsid w:val="00F41856"/>
    <w:rsid w:val="00F41BB5"/>
    <w:rsid w:val="00F41D10"/>
    <w:rsid w:val="00F41F1D"/>
    <w:rsid w:val="00F42427"/>
    <w:rsid w:val="00F42F0D"/>
    <w:rsid w:val="00F433CD"/>
    <w:rsid w:val="00F43516"/>
    <w:rsid w:val="00F436DF"/>
    <w:rsid w:val="00F43D65"/>
    <w:rsid w:val="00F441EA"/>
    <w:rsid w:val="00F44464"/>
    <w:rsid w:val="00F44A4B"/>
    <w:rsid w:val="00F4516D"/>
    <w:rsid w:val="00F458F9"/>
    <w:rsid w:val="00F45F76"/>
    <w:rsid w:val="00F46520"/>
    <w:rsid w:val="00F467BC"/>
    <w:rsid w:val="00F467C4"/>
    <w:rsid w:val="00F46A80"/>
    <w:rsid w:val="00F46AE7"/>
    <w:rsid w:val="00F47169"/>
    <w:rsid w:val="00F47257"/>
    <w:rsid w:val="00F47CA5"/>
    <w:rsid w:val="00F5059A"/>
    <w:rsid w:val="00F50730"/>
    <w:rsid w:val="00F50AC0"/>
    <w:rsid w:val="00F50DC8"/>
    <w:rsid w:val="00F5114F"/>
    <w:rsid w:val="00F51942"/>
    <w:rsid w:val="00F51D3E"/>
    <w:rsid w:val="00F51FD1"/>
    <w:rsid w:val="00F52140"/>
    <w:rsid w:val="00F52483"/>
    <w:rsid w:val="00F52640"/>
    <w:rsid w:val="00F52F81"/>
    <w:rsid w:val="00F53157"/>
    <w:rsid w:val="00F533D0"/>
    <w:rsid w:val="00F533F8"/>
    <w:rsid w:val="00F53506"/>
    <w:rsid w:val="00F5380C"/>
    <w:rsid w:val="00F53A57"/>
    <w:rsid w:val="00F54363"/>
    <w:rsid w:val="00F54744"/>
    <w:rsid w:val="00F54832"/>
    <w:rsid w:val="00F548E1"/>
    <w:rsid w:val="00F54C8D"/>
    <w:rsid w:val="00F54D17"/>
    <w:rsid w:val="00F54FA3"/>
    <w:rsid w:val="00F554E0"/>
    <w:rsid w:val="00F5566D"/>
    <w:rsid w:val="00F55F79"/>
    <w:rsid w:val="00F55FF3"/>
    <w:rsid w:val="00F5661A"/>
    <w:rsid w:val="00F5693D"/>
    <w:rsid w:val="00F569CE"/>
    <w:rsid w:val="00F570F2"/>
    <w:rsid w:val="00F5713F"/>
    <w:rsid w:val="00F572E7"/>
    <w:rsid w:val="00F57614"/>
    <w:rsid w:val="00F57735"/>
    <w:rsid w:val="00F57B06"/>
    <w:rsid w:val="00F6014C"/>
    <w:rsid w:val="00F601AC"/>
    <w:rsid w:val="00F61358"/>
    <w:rsid w:val="00F6176C"/>
    <w:rsid w:val="00F6204A"/>
    <w:rsid w:val="00F6211F"/>
    <w:rsid w:val="00F622B2"/>
    <w:rsid w:val="00F62300"/>
    <w:rsid w:val="00F62607"/>
    <w:rsid w:val="00F626C7"/>
    <w:rsid w:val="00F630FC"/>
    <w:rsid w:val="00F63370"/>
    <w:rsid w:val="00F636EE"/>
    <w:rsid w:val="00F63E78"/>
    <w:rsid w:val="00F64AAF"/>
    <w:rsid w:val="00F64AC4"/>
    <w:rsid w:val="00F64C90"/>
    <w:rsid w:val="00F650B6"/>
    <w:rsid w:val="00F655A6"/>
    <w:rsid w:val="00F6574E"/>
    <w:rsid w:val="00F657DB"/>
    <w:rsid w:val="00F65CC8"/>
    <w:rsid w:val="00F66141"/>
    <w:rsid w:val="00F6617D"/>
    <w:rsid w:val="00F66911"/>
    <w:rsid w:val="00F67292"/>
    <w:rsid w:val="00F672BA"/>
    <w:rsid w:val="00F67414"/>
    <w:rsid w:val="00F675B7"/>
    <w:rsid w:val="00F676A4"/>
    <w:rsid w:val="00F67A8E"/>
    <w:rsid w:val="00F67B35"/>
    <w:rsid w:val="00F704D7"/>
    <w:rsid w:val="00F7052A"/>
    <w:rsid w:val="00F7080B"/>
    <w:rsid w:val="00F70966"/>
    <w:rsid w:val="00F70C28"/>
    <w:rsid w:val="00F70E0B"/>
    <w:rsid w:val="00F70E2E"/>
    <w:rsid w:val="00F71780"/>
    <w:rsid w:val="00F71CB5"/>
    <w:rsid w:val="00F7254A"/>
    <w:rsid w:val="00F72867"/>
    <w:rsid w:val="00F72B30"/>
    <w:rsid w:val="00F72CE7"/>
    <w:rsid w:val="00F72E7B"/>
    <w:rsid w:val="00F73006"/>
    <w:rsid w:val="00F73734"/>
    <w:rsid w:val="00F7377C"/>
    <w:rsid w:val="00F73790"/>
    <w:rsid w:val="00F73AE6"/>
    <w:rsid w:val="00F74458"/>
    <w:rsid w:val="00F74575"/>
    <w:rsid w:val="00F74894"/>
    <w:rsid w:val="00F748B7"/>
    <w:rsid w:val="00F74C7B"/>
    <w:rsid w:val="00F74D3F"/>
    <w:rsid w:val="00F75285"/>
    <w:rsid w:val="00F7587F"/>
    <w:rsid w:val="00F7666E"/>
    <w:rsid w:val="00F77191"/>
    <w:rsid w:val="00F77731"/>
    <w:rsid w:val="00F77947"/>
    <w:rsid w:val="00F77C3F"/>
    <w:rsid w:val="00F77F0C"/>
    <w:rsid w:val="00F801B5"/>
    <w:rsid w:val="00F8035B"/>
    <w:rsid w:val="00F80755"/>
    <w:rsid w:val="00F807E1"/>
    <w:rsid w:val="00F80888"/>
    <w:rsid w:val="00F810DA"/>
    <w:rsid w:val="00F815F3"/>
    <w:rsid w:val="00F81638"/>
    <w:rsid w:val="00F817F8"/>
    <w:rsid w:val="00F81BE0"/>
    <w:rsid w:val="00F82279"/>
    <w:rsid w:val="00F82493"/>
    <w:rsid w:val="00F82756"/>
    <w:rsid w:val="00F82816"/>
    <w:rsid w:val="00F83005"/>
    <w:rsid w:val="00F8359C"/>
    <w:rsid w:val="00F83BFC"/>
    <w:rsid w:val="00F83D62"/>
    <w:rsid w:val="00F83FF0"/>
    <w:rsid w:val="00F844D1"/>
    <w:rsid w:val="00F84704"/>
    <w:rsid w:val="00F847BC"/>
    <w:rsid w:val="00F84BE0"/>
    <w:rsid w:val="00F8532A"/>
    <w:rsid w:val="00F85FE3"/>
    <w:rsid w:val="00F86253"/>
    <w:rsid w:val="00F86823"/>
    <w:rsid w:val="00F868BF"/>
    <w:rsid w:val="00F86B59"/>
    <w:rsid w:val="00F8703B"/>
    <w:rsid w:val="00F87060"/>
    <w:rsid w:val="00F87342"/>
    <w:rsid w:val="00F8764A"/>
    <w:rsid w:val="00F876A5"/>
    <w:rsid w:val="00F8790C"/>
    <w:rsid w:val="00F9013A"/>
    <w:rsid w:val="00F901BE"/>
    <w:rsid w:val="00F902CC"/>
    <w:rsid w:val="00F9055F"/>
    <w:rsid w:val="00F9059B"/>
    <w:rsid w:val="00F90629"/>
    <w:rsid w:val="00F90703"/>
    <w:rsid w:val="00F907D1"/>
    <w:rsid w:val="00F90D39"/>
    <w:rsid w:val="00F9100B"/>
    <w:rsid w:val="00F910AD"/>
    <w:rsid w:val="00F91280"/>
    <w:rsid w:val="00F91844"/>
    <w:rsid w:val="00F92553"/>
    <w:rsid w:val="00F92A8A"/>
    <w:rsid w:val="00F92C1F"/>
    <w:rsid w:val="00F92EE2"/>
    <w:rsid w:val="00F93F1F"/>
    <w:rsid w:val="00F93F61"/>
    <w:rsid w:val="00F94588"/>
    <w:rsid w:val="00F947D0"/>
    <w:rsid w:val="00F94AF3"/>
    <w:rsid w:val="00F94DA3"/>
    <w:rsid w:val="00F95832"/>
    <w:rsid w:val="00F95A43"/>
    <w:rsid w:val="00F96407"/>
    <w:rsid w:val="00F96CF6"/>
    <w:rsid w:val="00F96E74"/>
    <w:rsid w:val="00F97015"/>
    <w:rsid w:val="00F97508"/>
    <w:rsid w:val="00F97738"/>
    <w:rsid w:val="00F97883"/>
    <w:rsid w:val="00F97ABC"/>
    <w:rsid w:val="00F97D83"/>
    <w:rsid w:val="00F97DBC"/>
    <w:rsid w:val="00FA09E2"/>
    <w:rsid w:val="00FA0AFE"/>
    <w:rsid w:val="00FA0C0B"/>
    <w:rsid w:val="00FA0FAF"/>
    <w:rsid w:val="00FA10F6"/>
    <w:rsid w:val="00FA1967"/>
    <w:rsid w:val="00FA2306"/>
    <w:rsid w:val="00FA234E"/>
    <w:rsid w:val="00FA2E6E"/>
    <w:rsid w:val="00FA2F2F"/>
    <w:rsid w:val="00FA33E3"/>
    <w:rsid w:val="00FA34F6"/>
    <w:rsid w:val="00FA3D2F"/>
    <w:rsid w:val="00FA3F99"/>
    <w:rsid w:val="00FA41FD"/>
    <w:rsid w:val="00FA47C7"/>
    <w:rsid w:val="00FA48B5"/>
    <w:rsid w:val="00FA4BF5"/>
    <w:rsid w:val="00FA4C0C"/>
    <w:rsid w:val="00FA5140"/>
    <w:rsid w:val="00FA5206"/>
    <w:rsid w:val="00FA561D"/>
    <w:rsid w:val="00FA5724"/>
    <w:rsid w:val="00FA603E"/>
    <w:rsid w:val="00FA612A"/>
    <w:rsid w:val="00FA63A0"/>
    <w:rsid w:val="00FA6854"/>
    <w:rsid w:val="00FA6C1C"/>
    <w:rsid w:val="00FA707D"/>
    <w:rsid w:val="00FA7688"/>
    <w:rsid w:val="00FA7B31"/>
    <w:rsid w:val="00FB0005"/>
    <w:rsid w:val="00FB01D3"/>
    <w:rsid w:val="00FB01D4"/>
    <w:rsid w:val="00FB09F6"/>
    <w:rsid w:val="00FB0B64"/>
    <w:rsid w:val="00FB11C6"/>
    <w:rsid w:val="00FB1272"/>
    <w:rsid w:val="00FB1945"/>
    <w:rsid w:val="00FB1DB3"/>
    <w:rsid w:val="00FB200A"/>
    <w:rsid w:val="00FB2073"/>
    <w:rsid w:val="00FB213A"/>
    <w:rsid w:val="00FB25EF"/>
    <w:rsid w:val="00FB2803"/>
    <w:rsid w:val="00FB2D70"/>
    <w:rsid w:val="00FB3050"/>
    <w:rsid w:val="00FB3058"/>
    <w:rsid w:val="00FB3216"/>
    <w:rsid w:val="00FB361D"/>
    <w:rsid w:val="00FB364E"/>
    <w:rsid w:val="00FB3A33"/>
    <w:rsid w:val="00FB3D86"/>
    <w:rsid w:val="00FB48EE"/>
    <w:rsid w:val="00FB49BE"/>
    <w:rsid w:val="00FB4E76"/>
    <w:rsid w:val="00FB4FF4"/>
    <w:rsid w:val="00FB5288"/>
    <w:rsid w:val="00FB5576"/>
    <w:rsid w:val="00FB55F3"/>
    <w:rsid w:val="00FB58C9"/>
    <w:rsid w:val="00FB5F7C"/>
    <w:rsid w:val="00FB6C54"/>
    <w:rsid w:val="00FB708E"/>
    <w:rsid w:val="00FB71E8"/>
    <w:rsid w:val="00FB71F3"/>
    <w:rsid w:val="00FB7811"/>
    <w:rsid w:val="00FB79FF"/>
    <w:rsid w:val="00FB7A66"/>
    <w:rsid w:val="00FB7BC1"/>
    <w:rsid w:val="00FC0256"/>
    <w:rsid w:val="00FC08B4"/>
    <w:rsid w:val="00FC0A88"/>
    <w:rsid w:val="00FC0F6A"/>
    <w:rsid w:val="00FC16B8"/>
    <w:rsid w:val="00FC16C7"/>
    <w:rsid w:val="00FC1D00"/>
    <w:rsid w:val="00FC1DC4"/>
    <w:rsid w:val="00FC1FF6"/>
    <w:rsid w:val="00FC229A"/>
    <w:rsid w:val="00FC25B9"/>
    <w:rsid w:val="00FC2E67"/>
    <w:rsid w:val="00FC31BF"/>
    <w:rsid w:val="00FC33BC"/>
    <w:rsid w:val="00FC3545"/>
    <w:rsid w:val="00FC3838"/>
    <w:rsid w:val="00FC3ED9"/>
    <w:rsid w:val="00FC3EE6"/>
    <w:rsid w:val="00FC46B8"/>
    <w:rsid w:val="00FC4A5C"/>
    <w:rsid w:val="00FC4EDF"/>
    <w:rsid w:val="00FC50DE"/>
    <w:rsid w:val="00FC51DF"/>
    <w:rsid w:val="00FC5683"/>
    <w:rsid w:val="00FC5820"/>
    <w:rsid w:val="00FC624B"/>
    <w:rsid w:val="00FC6D8E"/>
    <w:rsid w:val="00FC714E"/>
    <w:rsid w:val="00FC7482"/>
    <w:rsid w:val="00FD00B0"/>
    <w:rsid w:val="00FD0221"/>
    <w:rsid w:val="00FD0698"/>
    <w:rsid w:val="00FD13BF"/>
    <w:rsid w:val="00FD18A3"/>
    <w:rsid w:val="00FD1E52"/>
    <w:rsid w:val="00FD1FB9"/>
    <w:rsid w:val="00FD207A"/>
    <w:rsid w:val="00FD20C6"/>
    <w:rsid w:val="00FD210C"/>
    <w:rsid w:val="00FD23CE"/>
    <w:rsid w:val="00FD28DF"/>
    <w:rsid w:val="00FD3351"/>
    <w:rsid w:val="00FD335C"/>
    <w:rsid w:val="00FD34AD"/>
    <w:rsid w:val="00FD34C0"/>
    <w:rsid w:val="00FD3987"/>
    <w:rsid w:val="00FD3CD8"/>
    <w:rsid w:val="00FD4032"/>
    <w:rsid w:val="00FD4202"/>
    <w:rsid w:val="00FD423F"/>
    <w:rsid w:val="00FD47C4"/>
    <w:rsid w:val="00FD4F6E"/>
    <w:rsid w:val="00FD5130"/>
    <w:rsid w:val="00FD515D"/>
    <w:rsid w:val="00FD51D9"/>
    <w:rsid w:val="00FD5A05"/>
    <w:rsid w:val="00FD6406"/>
    <w:rsid w:val="00FD6DBB"/>
    <w:rsid w:val="00FD7084"/>
    <w:rsid w:val="00FD784B"/>
    <w:rsid w:val="00FE00CA"/>
    <w:rsid w:val="00FE0348"/>
    <w:rsid w:val="00FE036A"/>
    <w:rsid w:val="00FE1170"/>
    <w:rsid w:val="00FE2167"/>
    <w:rsid w:val="00FE2339"/>
    <w:rsid w:val="00FE234D"/>
    <w:rsid w:val="00FE253F"/>
    <w:rsid w:val="00FE2826"/>
    <w:rsid w:val="00FE2A44"/>
    <w:rsid w:val="00FE2BB4"/>
    <w:rsid w:val="00FE2BC7"/>
    <w:rsid w:val="00FE35E5"/>
    <w:rsid w:val="00FE3716"/>
    <w:rsid w:val="00FE38A2"/>
    <w:rsid w:val="00FE3AE5"/>
    <w:rsid w:val="00FE45E1"/>
    <w:rsid w:val="00FE4686"/>
    <w:rsid w:val="00FE531A"/>
    <w:rsid w:val="00FE553E"/>
    <w:rsid w:val="00FE57A9"/>
    <w:rsid w:val="00FE5C22"/>
    <w:rsid w:val="00FE5EA5"/>
    <w:rsid w:val="00FE6023"/>
    <w:rsid w:val="00FE6137"/>
    <w:rsid w:val="00FE61A6"/>
    <w:rsid w:val="00FE6A17"/>
    <w:rsid w:val="00FE6AA5"/>
    <w:rsid w:val="00FE6DD3"/>
    <w:rsid w:val="00FE6E19"/>
    <w:rsid w:val="00FE6EC3"/>
    <w:rsid w:val="00FE6ED5"/>
    <w:rsid w:val="00FE6FF0"/>
    <w:rsid w:val="00FE7061"/>
    <w:rsid w:val="00FE70B2"/>
    <w:rsid w:val="00FE734B"/>
    <w:rsid w:val="00FE7768"/>
    <w:rsid w:val="00FF0CAA"/>
    <w:rsid w:val="00FF0E3A"/>
    <w:rsid w:val="00FF150A"/>
    <w:rsid w:val="00FF1554"/>
    <w:rsid w:val="00FF1565"/>
    <w:rsid w:val="00FF16DE"/>
    <w:rsid w:val="00FF2475"/>
    <w:rsid w:val="00FF2A3F"/>
    <w:rsid w:val="00FF37D5"/>
    <w:rsid w:val="00FF38DB"/>
    <w:rsid w:val="00FF3B33"/>
    <w:rsid w:val="00FF3BD2"/>
    <w:rsid w:val="00FF42DF"/>
    <w:rsid w:val="00FF44A8"/>
    <w:rsid w:val="00FF494B"/>
    <w:rsid w:val="00FF4BCA"/>
    <w:rsid w:val="00FF51D2"/>
    <w:rsid w:val="00FF59D5"/>
    <w:rsid w:val="00FF5A4E"/>
    <w:rsid w:val="00FF5C9B"/>
    <w:rsid w:val="00FF6221"/>
    <w:rsid w:val="00FF6863"/>
    <w:rsid w:val="00FF69D7"/>
    <w:rsid w:val="00FF72D4"/>
    <w:rsid w:val="00FF75FA"/>
    <w:rsid w:val="00FF7A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10038BE"/>
  <w15:docId w15:val="{90E2DC13-90E8-4C26-9CB1-47AF07642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qFormat="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iPriority="99" w:unhideWhenUsed="1"/>
    <w:lsdException w:name="Subtitle" w:uiPriority="11"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39"/>
    <w:rsid w:val="0036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f Char1"/>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E06F84"/>
    <w:pPr>
      <w:tabs>
        <w:tab w:val="right" w:leader="dot" w:pos="10198"/>
      </w:tabs>
      <w:spacing w:line="276" w:lineRule="auto"/>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DD6309"/>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1">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1"/>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1"/>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2">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1"/>
    <w:uiPriority w:val="99"/>
    <w:qFormat/>
    <w:rsid w:val="00DD23AB"/>
    <w:pPr>
      <w:ind w:firstLine="360"/>
      <w:jc w:val="both"/>
    </w:pPr>
    <w:rPr>
      <w:rFonts w:ascii="Times Armenian" w:hAnsi="Times Armenian"/>
      <w:lang w:val="af-ZA"/>
    </w:rPr>
  </w:style>
  <w:style w:type="paragraph" w:customStyle="1" w:styleId="a3">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1"/>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4">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4"/>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1"/>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E71512"/>
    <w:pPr>
      <w:keepNext/>
      <w:keepLines/>
      <w:numPr>
        <w:numId w:val="13"/>
      </w:numPr>
      <w:tabs>
        <w:tab w:val="left" w:pos="284"/>
        <w:tab w:val="left" w:pos="1560"/>
        <w:tab w:val="left" w:pos="1980"/>
      </w:tabs>
      <w:autoSpaceDE w:val="0"/>
      <w:autoSpaceDN w:val="0"/>
      <w:adjustRightInd w:val="0"/>
      <w:spacing w:after="120" w:line="276" w:lineRule="auto"/>
      <w:ind w:left="0" w:firstLine="0"/>
    </w:pPr>
    <w:rPr>
      <w:rFonts w:ascii="GHEA Grapalat" w:eastAsia="GHEA Grapalat" w:hAnsi="GHEA Grapalat" w:cs="GHEA Grapalat"/>
      <w:noProof/>
      <w:sz w:val="22"/>
      <w:szCs w:val="22"/>
    </w:rPr>
  </w:style>
  <w:style w:type="character" w:customStyle="1" w:styleId="Char0">
    <w:name w:val="Գծապատկեր Char"/>
    <w:link w:val="a"/>
    <w:rsid w:val="00E71512"/>
    <w:rPr>
      <w:rFonts w:ascii="GHEA Grapalat" w:eastAsia="GHEA Grapalat" w:hAnsi="GHEA Grapalat" w:cs="GHEA Grapalat"/>
      <w:noProof/>
      <w:sz w:val="22"/>
      <w:szCs w:val="22"/>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uiPriority w:val="99"/>
    <w:qFormat/>
    <w:rsid w:val="00DD23AB"/>
    <w:pPr>
      <w:keepNext/>
      <w:numPr>
        <w:numId w:val="7"/>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DA41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9"/>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BVI fnr Char,BVI fnr Car Car,BVI fnr"/>
    <w:basedOn w:val="Normal"/>
    <w:link w:val="FootnoteReference"/>
    <w:uiPriority w:val="99"/>
    <w:rsid w:val="00563135"/>
    <w:pPr>
      <w:spacing w:after="160" w:line="240" w:lineRule="exact"/>
    </w:pPr>
    <w:rPr>
      <w:rFonts w:ascii="Times New Roman" w:hAnsi="Times New Roman"/>
      <w:sz w:val="20"/>
      <w:szCs w:val="20"/>
      <w:vertAlign w:val="superscript"/>
    </w:rPr>
  </w:style>
  <w:style w:type="table" w:customStyle="1" w:styleId="TableGrid2">
    <w:name w:val="Table Grid2"/>
    <w:basedOn w:val="TableNormal"/>
    <w:next w:val="TableGrid"/>
    <w:uiPriority w:val="39"/>
    <w:rsid w:val="00695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41699218">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200816776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0" Type="http://schemas.openxmlformats.org/officeDocument/2006/relationships/chart" Target="charts/chart12.xml"/><Relationship Id="rId41"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 TargetMode="External"/><Relationship Id="rId7" Type="http://schemas.openxmlformats.org/officeDocument/2006/relationships/hyperlink" Target="https://www.fao.org/worldfoodsituation/foodpricesindex/en/" TargetMode="External"/><Relationship Id="rId2" Type="http://schemas.openxmlformats.org/officeDocument/2006/relationships/hyperlink" Target="https://www.bea.gov/" TargetMode="External"/><Relationship Id="rId1" Type="http://schemas.openxmlformats.org/officeDocument/2006/relationships/hyperlink" Target="https://www.pmi.spglobal.com/Public/Release/PressReleases?language=en" TargetMode="External"/><Relationship Id="rId6" Type="http://schemas.openxmlformats.org/officeDocument/2006/relationships/hyperlink" Target="https://www.worldbank.org/en/research/commodity-markets" TargetMode="External"/><Relationship Id="rId5" Type="http://schemas.openxmlformats.org/officeDocument/2006/relationships/hyperlink" Target="https://economy.gov.ru/" TargetMode="External"/><Relationship Id="rId4" Type="http://schemas.openxmlformats.org/officeDocument/2006/relationships/hyperlink" Target="http://www.stats.gov.c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499309150838173E-2"/>
          <c:y val="8.4424218938620815E-2"/>
          <c:w val="0.89927386003456078"/>
          <c:h val="0.51062389341830616"/>
        </c:manualLayout>
      </c:layout>
      <c:lineChart>
        <c:grouping val="standard"/>
        <c:varyColors val="0"/>
        <c:ser>
          <c:idx val="3"/>
          <c:order val="0"/>
          <c:tx>
            <c:strRef>
              <c:f>Sheet1!$C$1</c:f>
              <c:strCache>
                <c:ptCount val="1"/>
                <c:pt idx="0">
                  <c:v>ԱՄՆ</c:v>
                </c:pt>
              </c:strCache>
            </c:strRef>
          </c:tx>
          <c:spPr>
            <a:ln w="25400">
              <a:solidFill>
                <a:srgbClr val="4472C4">
                  <a:lumMod val="50000"/>
                </a:srgbClr>
              </a:solidFill>
            </a:ln>
          </c:spPr>
          <c:marker>
            <c:symbol val="none"/>
          </c:marker>
          <c:dLbls>
            <c:dLbl>
              <c:idx val="17"/>
              <c:layout>
                <c:manualLayout>
                  <c:x val="-3.9580613920586131E-4"/>
                  <c:y val="-7.1245539038359701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BE7-4B17-9557-573394F0FC2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Sheet1!$C$6:$C$23</c:f>
              <c:numCache>
                <c:formatCode>0.0</c:formatCode>
                <c:ptCount val="18"/>
                <c:pt idx="0">
                  <c:v>2.160228109000002</c:v>
                </c:pt>
                <c:pt idx="1">
                  <c:v>2.1355406160000001</c:v>
                </c:pt>
                <c:pt idx="2">
                  <c:v>2.3058278649999977</c:v>
                </c:pt>
                <c:pt idx="3" formatCode="General">
                  <c:v>2.6</c:v>
                </c:pt>
                <c:pt idx="4" formatCode="General">
                  <c:v>0.8</c:v>
                </c:pt>
                <c:pt idx="5">
                  <c:v>-8.4</c:v>
                </c:pt>
                <c:pt idx="6" formatCode="General">
                  <c:v>-2</c:v>
                </c:pt>
                <c:pt idx="7" formatCode="General">
                  <c:v>-1.5</c:v>
                </c:pt>
                <c:pt idx="8" formatCode="General">
                  <c:v>1.2</c:v>
                </c:pt>
                <c:pt idx="9" formatCode="General">
                  <c:v>12.5</c:v>
                </c:pt>
                <c:pt idx="10">
                  <c:v>5</c:v>
                </c:pt>
                <c:pt idx="11" formatCode="General">
                  <c:v>5.7</c:v>
                </c:pt>
                <c:pt idx="12" formatCode="General">
                  <c:v>3.7</c:v>
                </c:pt>
                <c:pt idx="13" formatCode="General">
                  <c:v>1.8</c:v>
                </c:pt>
                <c:pt idx="14" formatCode="General">
                  <c:v>1.9</c:v>
                </c:pt>
                <c:pt idx="15" formatCode="General">
                  <c:v>0.9</c:v>
                </c:pt>
                <c:pt idx="16" formatCode="General">
                  <c:v>1.8</c:v>
                </c:pt>
                <c:pt idx="17" formatCode="General">
                  <c:v>2.6</c:v>
                </c:pt>
              </c:numCache>
            </c:numRef>
          </c:val>
          <c:smooth val="0"/>
          <c:extLst>
            <c:ext xmlns:c16="http://schemas.microsoft.com/office/drawing/2014/chart" uri="{C3380CC4-5D6E-409C-BE32-E72D297353CC}">
              <c16:uniqueId val="{00000001-3BE7-4B17-9557-573394F0FC26}"/>
            </c:ext>
          </c:extLst>
        </c:ser>
        <c:ser>
          <c:idx val="0"/>
          <c:order val="1"/>
          <c:tx>
            <c:strRef>
              <c:f>Sheet1!$D$1</c:f>
              <c:strCache>
                <c:ptCount val="1"/>
                <c:pt idx="0">
                  <c:v>ԵԳ</c:v>
                </c:pt>
              </c:strCache>
            </c:strRef>
          </c:tx>
          <c:spPr>
            <a:ln w="25400">
              <a:solidFill>
                <a:srgbClr val="4472C4"/>
              </a:solidFill>
            </a:ln>
          </c:spPr>
          <c:marker>
            <c:symbol val="none"/>
          </c:marker>
          <c:dLbls>
            <c:dLbl>
              <c:idx val="17"/>
              <c:layout>
                <c:manualLayout>
                  <c:x val="-1.4653248557834014E-3"/>
                  <c:y val="3.9255245117034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BE7-4B17-9557-573394F0FC2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Sheet1!$D$6:$D$23</c:f>
              <c:numCache>
                <c:formatCode>0.0</c:formatCode>
                <c:ptCount val="18"/>
                <c:pt idx="0">
                  <c:v>1.8339175689999934</c:v>
                </c:pt>
                <c:pt idx="1">
                  <c:v>1.6053524080000017</c:v>
                </c:pt>
                <c:pt idx="2">
                  <c:v>1.8072755080000036</c:v>
                </c:pt>
                <c:pt idx="3" formatCode="General">
                  <c:v>1.2</c:v>
                </c:pt>
                <c:pt idx="4" formatCode="General">
                  <c:v>-2.8</c:v>
                </c:pt>
                <c:pt idx="5">
                  <c:v>-14.2</c:v>
                </c:pt>
                <c:pt idx="6" formatCode="General">
                  <c:v>-3.8</c:v>
                </c:pt>
                <c:pt idx="7" formatCode="General">
                  <c:v>-4.0999999999999996</c:v>
                </c:pt>
                <c:pt idx="8" formatCode="General">
                  <c:v>-0.8</c:v>
                </c:pt>
                <c:pt idx="9" formatCode="General">
                  <c:v>14.2</c:v>
                </c:pt>
                <c:pt idx="10" formatCode="General">
                  <c:v>4</c:v>
                </c:pt>
                <c:pt idx="11" formatCode="General">
                  <c:v>4.8</c:v>
                </c:pt>
                <c:pt idx="12" formatCode="General">
                  <c:v>5.5</c:v>
                </c:pt>
                <c:pt idx="13" formatCode="General">
                  <c:v>4.4000000000000004</c:v>
                </c:pt>
                <c:pt idx="14" formatCode="General">
                  <c:v>2.4</c:v>
                </c:pt>
                <c:pt idx="15" formatCode="General">
                  <c:v>1.8</c:v>
                </c:pt>
                <c:pt idx="16" formatCode="General">
                  <c:v>1.1000000000000001</c:v>
                </c:pt>
                <c:pt idx="17" formatCode="General">
                  <c:v>0.6</c:v>
                </c:pt>
              </c:numCache>
            </c:numRef>
          </c:val>
          <c:smooth val="0"/>
          <c:extLst>
            <c:ext xmlns:c16="http://schemas.microsoft.com/office/drawing/2014/chart" uri="{C3380CC4-5D6E-409C-BE32-E72D297353CC}">
              <c16:uniqueId val="{00000003-3BE7-4B17-9557-573394F0FC26}"/>
            </c:ext>
          </c:extLst>
        </c:ser>
        <c:ser>
          <c:idx val="1"/>
          <c:order val="2"/>
          <c:tx>
            <c:strRef>
              <c:f>Sheet1!$E$1</c:f>
              <c:strCache>
                <c:ptCount val="1"/>
                <c:pt idx="0">
                  <c:v>Չինաստան</c:v>
                </c:pt>
              </c:strCache>
            </c:strRef>
          </c:tx>
          <c:spPr>
            <a:ln w="25400">
              <a:solidFill>
                <a:sysClr val="window" lastClr="FFFFFF">
                  <a:lumMod val="50000"/>
                </a:sysClr>
              </a:solidFill>
            </a:ln>
          </c:spPr>
          <c:marker>
            <c:symbol val="none"/>
          </c:marker>
          <c:dLbls>
            <c:dLbl>
              <c:idx val="1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BE7-4B17-9557-573394F0FC2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Sheet1!$E$6:$E$23</c:f>
              <c:numCache>
                <c:formatCode>0.0</c:formatCode>
                <c:ptCount val="18"/>
                <c:pt idx="0">
                  <c:v>6.2999999999999972</c:v>
                </c:pt>
                <c:pt idx="1">
                  <c:v>6</c:v>
                </c:pt>
                <c:pt idx="2">
                  <c:v>5.9000000000000057</c:v>
                </c:pt>
                <c:pt idx="3" formatCode="General">
                  <c:v>5.8</c:v>
                </c:pt>
                <c:pt idx="4" formatCode="General">
                  <c:v>-6.8</c:v>
                </c:pt>
                <c:pt idx="5" formatCode="General">
                  <c:v>3.2</c:v>
                </c:pt>
                <c:pt idx="6">
                  <c:v>4.9000000000000004</c:v>
                </c:pt>
                <c:pt idx="7" formatCode="General">
                  <c:v>6.5</c:v>
                </c:pt>
                <c:pt idx="8" formatCode="General">
                  <c:v>18.3</c:v>
                </c:pt>
                <c:pt idx="9" formatCode="General">
                  <c:v>7.9</c:v>
                </c:pt>
                <c:pt idx="10" formatCode="General">
                  <c:v>4.9000000000000004</c:v>
                </c:pt>
                <c:pt idx="11" formatCode="General">
                  <c:v>4</c:v>
                </c:pt>
                <c:pt idx="12" formatCode="General">
                  <c:v>4.8</c:v>
                </c:pt>
                <c:pt idx="13" formatCode="General">
                  <c:v>0.4</c:v>
                </c:pt>
                <c:pt idx="14" formatCode="General">
                  <c:v>3.9</c:v>
                </c:pt>
                <c:pt idx="15" formatCode="General">
                  <c:v>2.9</c:v>
                </c:pt>
                <c:pt idx="16" formatCode="General">
                  <c:v>4.5</c:v>
                </c:pt>
                <c:pt idx="17" formatCode="General">
                  <c:v>6.3</c:v>
                </c:pt>
              </c:numCache>
            </c:numRef>
          </c:val>
          <c:smooth val="0"/>
          <c:extLst>
            <c:ext xmlns:c16="http://schemas.microsoft.com/office/drawing/2014/chart" uri="{C3380CC4-5D6E-409C-BE32-E72D297353CC}">
              <c16:uniqueId val="{00000005-3BE7-4B17-9557-573394F0FC26}"/>
            </c:ext>
          </c:extLst>
        </c:ser>
        <c:ser>
          <c:idx val="2"/>
          <c:order val="3"/>
          <c:tx>
            <c:strRef>
              <c:f>Sheet1!$F$1</c:f>
              <c:strCache>
                <c:ptCount val="1"/>
                <c:pt idx="0">
                  <c:v>ՌԴ</c:v>
                </c:pt>
              </c:strCache>
            </c:strRef>
          </c:tx>
          <c:spPr>
            <a:ln w="25400">
              <a:solidFill>
                <a:srgbClr val="ED7D31">
                  <a:lumMod val="60000"/>
                  <a:lumOff val="40000"/>
                </a:srgbClr>
              </a:solidFill>
            </a:ln>
            <a:effectLst/>
          </c:spPr>
          <c:marker>
            <c:symbol val="none"/>
          </c:marker>
          <c:dLbls>
            <c:dLbl>
              <c:idx val="17"/>
              <c:layout>
                <c:manualLayout>
                  <c:x val="-1.0510246458261608E-3"/>
                  <c:y val="-3.28911089154309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BE7-4B17-9557-573394F0FC2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Sheet1!$F$6:$F$23</c:f>
              <c:numCache>
                <c:formatCode>0.0</c:formatCode>
                <c:ptCount val="18"/>
                <c:pt idx="0">
                  <c:v>0.4</c:v>
                </c:pt>
                <c:pt idx="1">
                  <c:v>1.1000000000000001</c:v>
                </c:pt>
                <c:pt idx="2">
                  <c:v>1.5</c:v>
                </c:pt>
                <c:pt idx="3" formatCode="General">
                  <c:v>2.1</c:v>
                </c:pt>
                <c:pt idx="4" formatCode="General">
                  <c:v>1.4</c:v>
                </c:pt>
                <c:pt idx="5">
                  <c:v>-7.4</c:v>
                </c:pt>
                <c:pt idx="6">
                  <c:v>-3.3</c:v>
                </c:pt>
                <c:pt idx="7">
                  <c:v>-1.3</c:v>
                </c:pt>
                <c:pt idx="8" formatCode="General">
                  <c:v>-0.3</c:v>
                </c:pt>
                <c:pt idx="9" formatCode="General">
                  <c:v>10.5</c:v>
                </c:pt>
                <c:pt idx="10" formatCode="General">
                  <c:v>4</c:v>
                </c:pt>
                <c:pt idx="11" formatCode="General">
                  <c:v>5</c:v>
                </c:pt>
                <c:pt idx="12" formatCode="General">
                  <c:v>3</c:v>
                </c:pt>
                <c:pt idx="13" formatCode="General">
                  <c:v>-4.5</c:v>
                </c:pt>
                <c:pt idx="14" formatCode="General">
                  <c:v>-3.5</c:v>
                </c:pt>
                <c:pt idx="15" formatCode="General">
                  <c:v>-2.7</c:v>
                </c:pt>
                <c:pt idx="16" formatCode="General">
                  <c:v>-1.8</c:v>
                </c:pt>
                <c:pt idx="17" formatCode="General">
                  <c:v>4.7</c:v>
                </c:pt>
              </c:numCache>
            </c:numRef>
          </c:val>
          <c:smooth val="0"/>
          <c:extLst>
            <c:ext xmlns:c16="http://schemas.microsoft.com/office/drawing/2014/chart" uri="{C3380CC4-5D6E-409C-BE32-E72D297353CC}">
              <c16:uniqueId val="{00000007-3BE7-4B17-9557-573394F0FC26}"/>
            </c:ext>
          </c:extLst>
        </c:ser>
        <c:dLbls>
          <c:showLegendKey val="0"/>
          <c:showVal val="0"/>
          <c:showCatName val="0"/>
          <c:showSerName val="0"/>
          <c:showPercent val="0"/>
          <c:showBubbleSize val="0"/>
        </c:dLbls>
        <c:smooth val="0"/>
        <c:axId val="-1243325280"/>
        <c:axId val="-1243323104"/>
      </c:lineChart>
      <c:catAx>
        <c:axId val="-1243325280"/>
        <c:scaling>
          <c:orientation val="minMax"/>
        </c:scaling>
        <c:delete val="0"/>
        <c:axPos val="b"/>
        <c:numFmt formatCode="General" sourceLinked="1"/>
        <c:majorTickMark val="none"/>
        <c:minorTickMark val="none"/>
        <c:tickLblPos val="low"/>
        <c:spPr>
          <a:noFill/>
          <a:ln w="9522" cap="flat" cmpd="sng" algn="ctr">
            <a:solidFill>
              <a:sysClr val="window" lastClr="FFFFFF">
                <a:lumMod val="85000"/>
              </a:sys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43323104"/>
        <c:crosses val="autoZero"/>
        <c:auto val="1"/>
        <c:lblAlgn val="ctr"/>
        <c:lblOffset val="0"/>
        <c:noMultiLvlLbl val="0"/>
      </c:catAx>
      <c:valAx>
        <c:axId val="-1243323104"/>
        <c:scaling>
          <c:orientation val="minMax"/>
          <c:max val="20"/>
          <c:min val="-15"/>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6348">
            <a:noFill/>
          </a:ln>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43325280"/>
        <c:crosses val="autoZero"/>
        <c:crossBetween val="between"/>
      </c:valAx>
      <c:spPr>
        <a:noFill/>
        <a:ln w="25393">
          <a:noFill/>
        </a:ln>
      </c:spPr>
    </c:plotArea>
    <c:legend>
      <c:legendPos val="b"/>
      <c:layout>
        <c:manualLayout>
          <c:xMode val="edge"/>
          <c:yMode val="edge"/>
          <c:x val="0.2094697898528648"/>
          <c:y val="0.8446807253266263"/>
          <c:w val="0.53623161842108524"/>
          <c:h val="0.13523990052243798"/>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0.28361096295453792</c:v>
                </c:pt>
                <c:pt idx="1">
                  <c:v>0.14180548147726896</c:v>
                </c:pt>
                <c:pt idx="2">
                  <c:v>1.7421816295778676</c:v>
                </c:pt>
                <c:pt idx="3">
                  <c:v>-0.16206340740259187</c:v>
                </c:pt>
                <c:pt idx="4">
                  <c:v>1.0736700740421743</c:v>
                </c:pt>
                <c:pt idx="5">
                  <c:v>-1.4990865184739812</c:v>
                </c:pt>
              </c:numCache>
            </c:numRef>
          </c:val>
          <c:extLst>
            <c:ext xmlns:c16="http://schemas.microsoft.com/office/drawing/2014/chart" uri="{C3380CC4-5D6E-409C-BE32-E72D297353CC}">
              <c16:uniqueId val="{00000000-2371-4F63-9A51-B4B98699C954}"/>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0.91037338358597975</c:v>
                </c:pt>
                <c:pt idx="1">
                  <c:v>1.0372286911348458</c:v>
                </c:pt>
                <c:pt idx="2">
                  <c:v>1.2387047678301029</c:v>
                </c:pt>
                <c:pt idx="3">
                  <c:v>1.4401808445253608</c:v>
                </c:pt>
                <c:pt idx="4">
                  <c:v>1.3730221522936088</c:v>
                </c:pt>
                <c:pt idx="5">
                  <c:v>1.3506359215496906</c:v>
                </c:pt>
              </c:numCache>
            </c:numRef>
          </c:val>
          <c:extLst>
            <c:ext xmlns:c16="http://schemas.microsoft.com/office/drawing/2014/chart" uri="{C3380CC4-5D6E-409C-BE32-E72D297353CC}">
              <c16:uniqueId val="{00000001-2371-4F63-9A51-B4B98699C954}"/>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12.483193511573912</c:v>
                </c:pt>
                <c:pt idx="1">
                  <c:v>10.217903569319187</c:v>
                </c:pt>
                <c:pt idx="2">
                  <c:v>10.555287177740103</c:v>
                </c:pt>
                <c:pt idx="3">
                  <c:v>9.8323223025524253</c:v>
                </c:pt>
                <c:pt idx="4">
                  <c:v>5.9283119765389598</c:v>
                </c:pt>
                <c:pt idx="5">
                  <c:v>1.9279063338338085</c:v>
                </c:pt>
              </c:numCache>
            </c:numRef>
          </c:val>
          <c:extLst>
            <c:ext xmlns:c16="http://schemas.microsoft.com/office/drawing/2014/chart" uri="{C3380CC4-5D6E-409C-BE32-E72D297353CC}">
              <c16:uniqueId val="{00000002-2371-4F63-9A51-B4B98699C954}"/>
            </c:ext>
          </c:extLst>
        </c:ser>
        <c:ser>
          <c:idx val="4"/>
          <c:order val="4"/>
          <c:tx>
            <c:strRef>
              <c:f>Sheet1!$A$6</c:f>
              <c:strCache>
                <c:ptCount val="1"/>
                <c:pt idx="0">
                  <c:v>առևտուր</c:v>
                </c:pt>
              </c:strCache>
            </c:strRef>
          </c:tx>
          <c:spPr>
            <a:solidFill>
              <a:srgbClr val="F79646">
                <a:lumMod val="75000"/>
              </a:srgbClr>
            </a:solidFill>
          </c:spPr>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2.2494476716460814</c:v>
                </c:pt>
                <c:pt idx="1">
                  <c:v>2.3129913911841062</c:v>
                </c:pt>
                <c:pt idx="2">
                  <c:v>3.3169821598848985</c:v>
                </c:pt>
                <c:pt idx="3">
                  <c:v>3.6728269892978394</c:v>
                </c:pt>
                <c:pt idx="4">
                  <c:v>3.6347007575750228</c:v>
                </c:pt>
                <c:pt idx="5">
                  <c:v>2.57987501324381</c:v>
                </c:pt>
              </c:numCache>
            </c:numRef>
          </c:val>
          <c:extLst>
            <c:ext xmlns:c16="http://schemas.microsoft.com/office/drawing/2014/chart" uri="{C3380CC4-5D6E-409C-BE32-E72D297353CC}">
              <c16:uniqueId val="{00000003-2371-4F63-9A51-B4B98699C954}"/>
            </c:ext>
          </c:extLst>
        </c:ser>
        <c:dLbls>
          <c:showLegendKey val="0"/>
          <c:showVal val="0"/>
          <c:showCatName val="0"/>
          <c:showSerName val="0"/>
          <c:showPercent val="0"/>
          <c:showBubbleSize val="0"/>
        </c:dLbls>
        <c:gapWidth val="219"/>
        <c:overlap val="100"/>
        <c:axId val="187919360"/>
        <c:axId val="187953920"/>
        <c:extLst>
          <c:ext xmlns:c15="http://schemas.microsoft.com/office/drawing/2012/chart" uri="{02D57815-91ED-43cb-92C2-25804820EDAC}">
            <c15:filteredBarSeries>
              <c15:ser>
                <c:idx val="5"/>
                <c:order val="5"/>
                <c:tx>
                  <c:strRef>
                    <c:extLst>
                      <c:ext uri="{02D57815-91ED-43cb-92C2-25804820EDAC}">
                        <c15:formulaRef>
                          <c15:sqref>Sheet1!$A$7</c15:sqref>
                        </c15:formulaRef>
                      </c:ext>
                    </c:extLst>
                    <c:strCache>
                      <c:ptCount val="1"/>
                      <c:pt idx="0">
                        <c:v>այլ </c:v>
                      </c:pt>
                    </c:strCache>
                  </c:strRef>
                </c:tx>
                <c:spPr>
                  <a:solidFill>
                    <a:srgbClr val="4F81BD">
                      <a:lumMod val="60000"/>
                      <a:lumOff val="40000"/>
                    </a:srgbClr>
                  </a:solidFill>
                </c:spPr>
                <c:invertIfNegative val="0"/>
                <c:cat>
                  <c:strRef>
                    <c:extLst>
                      <c:ext uri="{02D57815-91ED-43cb-92C2-25804820EDAC}">
                        <c15:formulaRef>
                          <c15:sqref>Sheet1!$B$1:$G$1</c15:sqref>
                        </c15:formulaRef>
                      </c:ext>
                    </c:extLst>
                    <c:strCache>
                      <c:ptCount val="6"/>
                      <c:pt idx="0">
                        <c:v>I</c:v>
                      </c:pt>
                      <c:pt idx="1">
                        <c:v>II</c:v>
                      </c:pt>
                      <c:pt idx="2">
                        <c:v>III</c:v>
                      </c:pt>
                      <c:pt idx="3">
                        <c:v>IV</c:v>
                      </c:pt>
                      <c:pt idx="4">
                        <c:v>V</c:v>
                      </c:pt>
                      <c:pt idx="5">
                        <c:v>VI</c:v>
                      </c:pt>
                    </c:strCache>
                  </c:strRef>
                </c:cat>
                <c:val>
                  <c:numRef>
                    <c:extLst>
                      <c:ext uri="{02D57815-91ED-43cb-92C2-25804820EDAC}">
                        <c15:formulaRef>
                          <c15:sqref>Sheet1!$B$7:$G$7</c15:sqref>
                        </c15:formulaRef>
                      </c:ext>
                    </c:extLst>
                    <c:numCache>
                      <c:formatCode>0.0</c:formatCode>
                      <c:ptCount val="6"/>
                      <c:pt idx="0">
                        <c:v>-4.8440668625783978</c:v>
                      </c:pt>
                      <c:pt idx="1">
                        <c:v>-2.3832089496495694</c:v>
                      </c:pt>
                      <c:pt idx="2">
                        <c:v>-2.8577094677058028</c:v>
                      </c:pt>
                      <c:pt idx="3">
                        <c:v>-2.4832667289730352</c:v>
                      </c:pt>
                      <c:pt idx="4">
                        <c:v>1.5902950395502273</c:v>
                      </c:pt>
                      <c:pt idx="5">
                        <c:v>2.4406692498466693</c:v>
                      </c:pt>
                    </c:numCache>
                  </c:numRef>
                </c:val>
                <c:extLst>
                  <c:ext xmlns:c16="http://schemas.microsoft.com/office/drawing/2014/chart" uri="{C3380CC4-5D6E-409C-BE32-E72D297353CC}">
                    <c16:uniqueId val="{0000000F-2371-4F63-9A51-B4B98699C954}"/>
                  </c:ext>
                </c:extLst>
              </c15:ser>
            </c15:filteredBarSeries>
          </c:ext>
        </c:extLst>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371-4F63-9A51-B4B98699C954}"/>
                </c:ext>
              </c:extLst>
            </c:dLbl>
            <c:dLbl>
              <c:idx val="1"/>
              <c:layout>
                <c:manualLayout>
                  <c:x val="-6.6155973405532545E-2"/>
                  <c:y val="4.51613726566188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371-4F63-9A51-B4B98699C954}"/>
                </c:ext>
              </c:extLst>
            </c:dLbl>
            <c:dLbl>
              <c:idx val="2"/>
              <c:layout>
                <c:manualLayout>
                  <c:x val="-7.0040441430786596E-2"/>
                  <c:y val="3.50525285275169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371-4F63-9A51-B4B98699C954}"/>
                </c:ext>
              </c:extLst>
            </c:dLbl>
            <c:dLbl>
              <c:idx val="3"/>
              <c:layout>
                <c:manualLayout>
                  <c:x val="-7.012210038990474E-2"/>
                  <c:y val="-5.10135415912643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371-4F63-9A51-B4B98699C954}"/>
                </c:ext>
              </c:extLst>
            </c:dLbl>
            <c:dLbl>
              <c:idx val="4"/>
              <c:layout>
                <c:manualLayout>
                  <c:x val="-6.194540659919133E-2"/>
                  <c:y val="-5.71695902669980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371-4F63-9A51-B4B98699C954}"/>
                </c:ext>
              </c:extLst>
            </c:dLbl>
            <c:dLbl>
              <c:idx val="5"/>
              <c:layout>
                <c:manualLayout>
                  <c:x val="-5.8885220234550173E-2"/>
                  <c:y val="-5.18639460159410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371-4F63-9A51-B4B98699C954}"/>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71-4F63-9A51-B4B98699C954}"/>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371-4F63-9A51-B4B98699C954}"/>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371-4F63-9A51-B4B98699C954}"/>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371-4F63-9A51-B4B98699C954}"/>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11.082558667182113</c:v>
                </c:pt>
                <c:pt idx="1">
                  <c:v>11.326720183465838</c:v>
                </c:pt>
                <c:pt idx="2">
                  <c:v>13.995446267327168</c:v>
                </c:pt>
                <c:pt idx="3">
                  <c:v>12.299999999999997</c:v>
                </c:pt>
                <c:pt idx="4">
                  <c:v>13.599999999999994</c:v>
                </c:pt>
                <c:pt idx="5">
                  <c:v>6.7999999999999972</c:v>
                </c:pt>
              </c:numCache>
            </c:numRef>
          </c:val>
          <c:smooth val="0"/>
          <c:extLst>
            <c:ext xmlns:c16="http://schemas.microsoft.com/office/drawing/2014/chart" uri="{C3380CC4-5D6E-409C-BE32-E72D297353CC}">
              <c16:uniqueId val="{0000000E-2371-4F63-9A51-B4B98699C954}"/>
            </c:ext>
          </c:extLst>
        </c:ser>
        <c:dLbls>
          <c:showLegendKey val="0"/>
          <c:showVal val="0"/>
          <c:showCatName val="0"/>
          <c:showSerName val="0"/>
          <c:showPercent val="0"/>
          <c:showBubbleSize val="0"/>
        </c:dLbls>
        <c:marker val="1"/>
        <c:smooth val="0"/>
        <c:axId val="187919360"/>
        <c:axId val="187953920"/>
      </c:lineChart>
      <c:catAx>
        <c:axId val="1879193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53920"/>
        <c:crosses val="autoZero"/>
        <c:auto val="1"/>
        <c:lblAlgn val="ctr"/>
        <c:lblOffset val="100"/>
        <c:noMultiLvlLbl val="0"/>
      </c:catAx>
      <c:valAx>
        <c:axId val="187953920"/>
        <c:scaling>
          <c:orientation val="minMax"/>
          <c:max val="1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19360"/>
        <c:crosses val="autoZero"/>
        <c:crossBetween val="between"/>
        <c:majorUnit val="6"/>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4664972655310515"/>
        </c:manualLayout>
      </c:layout>
      <c:barChart>
        <c:barDir val="col"/>
        <c:grouping val="clustered"/>
        <c:varyColors val="0"/>
        <c:ser>
          <c:idx val="1"/>
          <c:order val="0"/>
          <c:tx>
            <c:strRef>
              <c:f>Sheet1!$E$1</c:f>
              <c:strCache>
                <c:ptCount val="1"/>
                <c:pt idx="0">
                  <c:v>Գործազուրկներ, հազ. մարդ</c:v>
                </c:pt>
              </c:strCache>
            </c:strRef>
          </c:tx>
          <c:spPr>
            <a:solidFill>
              <a:srgbClr val="1F497D"/>
            </a:solidFill>
            <a:ln>
              <a:solidFill>
                <a:srgbClr val="1F497D"/>
              </a:solidFill>
            </a:ln>
            <a:effectLst/>
          </c:spPr>
          <c:invertIfNegative val="0"/>
          <c:cat>
            <c:multiLvlStrRef>
              <c:f>Sheet1!$A$2:$B$10</c:f>
              <c:multiLvlStrCache>
                <c:ptCount val="9"/>
                <c:lvl>
                  <c:pt idx="0">
                    <c:v>I</c:v>
                  </c:pt>
                  <c:pt idx="1">
                    <c:v>II</c:v>
                  </c:pt>
                  <c:pt idx="2">
                    <c:v>III</c:v>
                  </c:pt>
                  <c:pt idx="3">
                    <c:v>IV</c:v>
                  </c:pt>
                  <c:pt idx="4">
                    <c:v>I</c:v>
                  </c:pt>
                  <c:pt idx="5">
                    <c:v>II</c:v>
                  </c:pt>
                  <c:pt idx="6">
                    <c:v>III</c:v>
                  </c:pt>
                  <c:pt idx="7">
                    <c:v>IV</c:v>
                  </c:pt>
                  <c:pt idx="8">
                    <c:v>I</c:v>
                  </c:pt>
                </c:lvl>
                <c:lvl>
                  <c:pt idx="0">
                    <c:v>2021</c:v>
                  </c:pt>
                  <c:pt idx="4">
                    <c:v>2022</c:v>
                  </c:pt>
                  <c:pt idx="8">
                    <c:v>2023</c:v>
                  </c:pt>
                </c:lvl>
              </c:multiLvlStrCache>
            </c:multiLvlStrRef>
          </c:cat>
          <c:val>
            <c:numRef>
              <c:f>Sheet1!$E$2:$E$10</c:f>
              <c:numCache>
                <c:formatCode>0.0</c:formatCode>
                <c:ptCount val="9"/>
                <c:pt idx="0">
                  <c:v>207.5</c:v>
                </c:pt>
                <c:pt idx="1">
                  <c:v>197.4</c:v>
                </c:pt>
                <c:pt idx="2">
                  <c:v>198.6</c:v>
                </c:pt>
                <c:pt idx="3">
                  <c:v>187.8</c:v>
                </c:pt>
                <c:pt idx="4">
                  <c:v>186.4</c:v>
                </c:pt>
                <c:pt idx="5">
                  <c:v>170</c:v>
                </c:pt>
                <c:pt idx="6">
                  <c:v>158</c:v>
                </c:pt>
                <c:pt idx="7">
                  <c:v>165.8</c:v>
                </c:pt>
                <c:pt idx="8">
                  <c:v>179.6</c:v>
                </c:pt>
              </c:numCache>
            </c:numRef>
          </c:val>
          <c:extLst>
            <c:ext xmlns:c16="http://schemas.microsoft.com/office/drawing/2014/chart" uri="{C3380CC4-5D6E-409C-BE32-E72D297353CC}">
              <c16:uniqueId val="{00000000-5FB3-4428-B4A6-EDBB964BCB1B}"/>
            </c:ext>
          </c:extLst>
        </c:ser>
        <c:ser>
          <c:idx val="0"/>
          <c:order val="2"/>
          <c:tx>
            <c:strRef>
              <c:f>Sheet1!$D$1</c:f>
              <c:strCache>
                <c:ptCount val="1"/>
                <c:pt idx="0">
                  <c:v>Զբաղվածներ, հազ. մարդ</c:v>
                </c:pt>
              </c:strCache>
            </c:strRef>
          </c:tx>
          <c:spPr>
            <a:solidFill>
              <a:srgbClr val="9BBB59"/>
            </a:solidFill>
            <a:ln>
              <a:solidFill>
                <a:srgbClr val="9BBB59"/>
              </a:solidFill>
            </a:ln>
          </c:spPr>
          <c:invertIfNegative val="0"/>
          <c:cat>
            <c:multiLvlStrRef>
              <c:f>Sheet1!$A$2:$B$10</c:f>
              <c:multiLvlStrCache>
                <c:ptCount val="9"/>
                <c:lvl>
                  <c:pt idx="0">
                    <c:v>I</c:v>
                  </c:pt>
                  <c:pt idx="1">
                    <c:v>II</c:v>
                  </c:pt>
                  <c:pt idx="2">
                    <c:v>III</c:v>
                  </c:pt>
                  <c:pt idx="3">
                    <c:v>IV</c:v>
                  </c:pt>
                  <c:pt idx="4">
                    <c:v>I</c:v>
                  </c:pt>
                  <c:pt idx="5">
                    <c:v>II</c:v>
                  </c:pt>
                  <c:pt idx="6">
                    <c:v>III</c:v>
                  </c:pt>
                  <c:pt idx="7">
                    <c:v>IV</c:v>
                  </c:pt>
                  <c:pt idx="8">
                    <c:v>I</c:v>
                  </c:pt>
                </c:lvl>
                <c:lvl>
                  <c:pt idx="0">
                    <c:v>2021</c:v>
                  </c:pt>
                  <c:pt idx="4">
                    <c:v>2022</c:v>
                  </c:pt>
                  <c:pt idx="8">
                    <c:v>2023</c:v>
                  </c:pt>
                </c:lvl>
              </c:multiLvlStrCache>
            </c:multiLvlStrRef>
          </c:cat>
          <c:val>
            <c:numRef>
              <c:f>Sheet1!$D$2:$D$10</c:f>
              <c:numCache>
                <c:formatCode>0.0</c:formatCode>
                <c:ptCount val="9"/>
                <c:pt idx="0">
                  <c:v>1036.5</c:v>
                </c:pt>
                <c:pt idx="1">
                  <c:v>1099.5999999999999</c:v>
                </c:pt>
                <c:pt idx="2">
                  <c:v>1126.5999999999999</c:v>
                </c:pt>
                <c:pt idx="3">
                  <c:v>1089.0999999999999</c:v>
                </c:pt>
                <c:pt idx="4">
                  <c:v>1070.5</c:v>
                </c:pt>
                <c:pt idx="5">
                  <c:v>1142.4000000000001</c:v>
                </c:pt>
                <c:pt idx="6">
                  <c:v>1202.4000000000001</c:v>
                </c:pt>
                <c:pt idx="7">
                  <c:v>1141.2</c:v>
                </c:pt>
                <c:pt idx="8">
                  <c:v>1129.7</c:v>
                </c:pt>
              </c:numCache>
            </c:numRef>
          </c:val>
          <c:extLst>
            <c:ext xmlns:c16="http://schemas.microsoft.com/office/drawing/2014/chart" uri="{C3380CC4-5D6E-409C-BE32-E72D297353CC}">
              <c16:uniqueId val="{00000001-5FB3-4428-B4A6-EDBB964BCB1B}"/>
            </c:ext>
          </c:extLst>
        </c:ser>
        <c:ser>
          <c:idx val="3"/>
          <c:order val="3"/>
          <c:tx>
            <c:strRef>
              <c:f>Sheet1!$C$1</c:f>
              <c:strCache>
                <c:ptCount val="1"/>
                <c:pt idx="0">
                  <c:v>Վարձու աշխատողներ, հազ. մարդ (աճողական)</c:v>
                </c:pt>
              </c:strCache>
            </c:strRef>
          </c:tx>
          <c:invertIfNegative val="0"/>
          <c:cat>
            <c:multiLvlStrRef>
              <c:f>Sheet1!$A$2:$B$10</c:f>
              <c:multiLvlStrCache>
                <c:ptCount val="9"/>
                <c:lvl>
                  <c:pt idx="0">
                    <c:v>I</c:v>
                  </c:pt>
                  <c:pt idx="1">
                    <c:v>II</c:v>
                  </c:pt>
                  <c:pt idx="2">
                    <c:v>III</c:v>
                  </c:pt>
                  <c:pt idx="3">
                    <c:v>IV</c:v>
                  </c:pt>
                  <c:pt idx="4">
                    <c:v>I</c:v>
                  </c:pt>
                  <c:pt idx="5">
                    <c:v>II</c:v>
                  </c:pt>
                  <c:pt idx="6">
                    <c:v>III</c:v>
                  </c:pt>
                  <c:pt idx="7">
                    <c:v>IV</c:v>
                  </c:pt>
                  <c:pt idx="8">
                    <c:v>I</c:v>
                  </c:pt>
                </c:lvl>
                <c:lvl>
                  <c:pt idx="0">
                    <c:v>2021</c:v>
                  </c:pt>
                  <c:pt idx="4">
                    <c:v>2022</c:v>
                  </c:pt>
                  <c:pt idx="8">
                    <c:v>2023</c:v>
                  </c:pt>
                </c:lvl>
              </c:multiLvlStrCache>
            </c:multiLvlStrRef>
          </c:cat>
          <c:val>
            <c:numRef>
              <c:f>Sheet1!$C$2:$C$10</c:f>
              <c:numCache>
                <c:formatCode>0.0</c:formatCode>
                <c:ptCount val="9"/>
                <c:pt idx="0">
                  <c:v>622.83900000000006</c:v>
                </c:pt>
                <c:pt idx="1">
                  <c:v>635.14300000000003</c:v>
                </c:pt>
                <c:pt idx="2">
                  <c:v>642.71799999999996</c:v>
                </c:pt>
                <c:pt idx="3">
                  <c:v>649.69899999999996</c:v>
                </c:pt>
                <c:pt idx="4">
                  <c:v>659.03700000000003</c:v>
                </c:pt>
                <c:pt idx="5">
                  <c:v>671.90499999999997</c:v>
                </c:pt>
                <c:pt idx="6">
                  <c:v>677.56200000000001</c:v>
                </c:pt>
                <c:pt idx="7">
                  <c:v>684.78300000000002</c:v>
                </c:pt>
                <c:pt idx="8">
                  <c:v>699.23900000000003</c:v>
                </c:pt>
              </c:numCache>
            </c:numRef>
          </c:val>
          <c:extLst>
            <c:ext xmlns:c16="http://schemas.microsoft.com/office/drawing/2014/chart" uri="{C3380CC4-5D6E-409C-BE32-E72D297353CC}">
              <c16:uniqueId val="{00000002-5FB3-4428-B4A6-EDBB964BCB1B}"/>
            </c:ext>
          </c:extLst>
        </c:ser>
        <c:dLbls>
          <c:showLegendKey val="0"/>
          <c:showVal val="0"/>
          <c:showCatName val="0"/>
          <c:showSerName val="0"/>
          <c:showPercent val="0"/>
          <c:showBubbleSize val="0"/>
        </c:dLbls>
        <c:gapWidth val="150"/>
        <c:axId val="121480768"/>
        <c:axId val="1"/>
      </c:barChart>
      <c:lineChart>
        <c:grouping val="standard"/>
        <c:varyColors val="0"/>
        <c:ser>
          <c:idx val="2"/>
          <c:order val="1"/>
          <c:tx>
            <c:strRef>
              <c:f>Sheet1!$F$1</c:f>
              <c:strCache>
                <c:ptCount val="1"/>
                <c:pt idx="0">
                  <c:v>Գործազրկության մակարդակ, %, աջ առանցք</c:v>
                </c:pt>
              </c:strCache>
            </c:strRef>
          </c:tx>
          <c:spPr>
            <a:ln>
              <a:solidFill>
                <a:srgbClr val="4F81BD"/>
              </a:solidFill>
            </a:ln>
            <a:effectLst/>
          </c:spPr>
          <c:marker>
            <c:spPr>
              <a:solidFill>
                <a:srgbClr val="4F81BD"/>
              </a:solidFill>
              <a:ln>
                <a:solidFill>
                  <a:srgbClr val="4F81BD"/>
                </a:solidFill>
              </a:ln>
            </c:spPr>
          </c:marker>
          <c:dLbls>
            <c:dLbl>
              <c:idx val="0"/>
              <c:layout>
                <c:manualLayout>
                  <c:x val="-6.5966963710374527E-2"/>
                  <c:y val="-3.73335006430969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FB3-4428-B4A6-EDBB964BCB1B}"/>
                </c:ext>
              </c:extLst>
            </c:dLbl>
            <c:dLbl>
              <c:idx val="1"/>
              <c:layout>
                <c:manualLayout>
                  <c:x val="-7.0205415939774002E-2"/>
                  <c:y val="-3.20000836548817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FB3-4428-B4A6-EDBB964BCB1B}"/>
                </c:ext>
              </c:extLst>
            </c:dLbl>
            <c:dLbl>
              <c:idx val="2"/>
              <c:layout>
                <c:manualLayout>
                  <c:x val="-6.1516966067864269E-2"/>
                  <c:y val="-2.67900576172998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FB3-4428-B4A6-EDBB964BCB1B}"/>
                </c:ext>
              </c:extLst>
            </c:dLbl>
            <c:dLbl>
              <c:idx val="3"/>
              <c:layout>
                <c:manualLayout>
                  <c:x val="-7.4003803416788472E-2"/>
                  <c:y val="-3.75380368290617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FB3-4428-B4A6-EDBB964BCB1B}"/>
                </c:ext>
              </c:extLst>
            </c:dLbl>
            <c:dLbl>
              <c:idx val="4"/>
              <c:layout>
                <c:manualLayout>
                  <c:x val="-5.9880239520958084E-2"/>
                  <c:y val="-2.656042496679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FB3-4428-B4A6-EDBB964BCB1B}"/>
                </c:ext>
              </c:extLst>
            </c:dLbl>
            <c:dLbl>
              <c:idx val="5"/>
              <c:layout>
                <c:manualLayout>
                  <c:x val="-5.588822355289421E-2"/>
                  <c:y val="-2.12483399734395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FB3-4428-B4A6-EDBB964BCB1B}"/>
                </c:ext>
              </c:extLst>
            </c:dLbl>
            <c:dLbl>
              <c:idx val="6"/>
              <c:layout>
                <c:manualLayout>
                  <c:x val="-6.3872255489021951E-2"/>
                  <c:y val="-2.656042496679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FB3-4428-B4A6-EDBB964BCB1B}"/>
                </c:ext>
              </c:extLst>
            </c:dLbl>
            <c:dLbl>
              <c:idx val="7"/>
              <c:layout>
                <c:manualLayout>
                  <c:x val="-6.3872255489022103E-2"/>
                  <c:y val="-3.18725099601593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FB3-4428-B4A6-EDBB964BCB1B}"/>
                </c:ext>
              </c:extLst>
            </c:dLbl>
            <c:dLbl>
              <c:idx val="8"/>
              <c:layout>
                <c:manualLayout>
                  <c:x val="-5.988023952095823E-2"/>
                  <c:y val="-3.18725099601593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FB3-4428-B4A6-EDBB964BCB1B}"/>
                </c:ext>
              </c:extLst>
            </c:dLbl>
            <c:spPr>
              <a:noFill/>
              <a:ln w="25392">
                <a:noFill/>
              </a:ln>
            </c:spPr>
            <c:txPr>
              <a:bodyPr wrap="square" lIns="38100" tIns="19050" rIns="38100" bIns="19050" anchor="ctr">
                <a:spAutoFit/>
              </a:bodyPr>
              <a:lstStyle/>
              <a:p>
                <a:pPr>
                  <a:defRPr sz="7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Sheet1!$B$2:$B$10</c:f>
              <c:strCache>
                <c:ptCount val="9"/>
                <c:pt idx="0">
                  <c:v>I</c:v>
                </c:pt>
                <c:pt idx="1">
                  <c:v>II</c:v>
                </c:pt>
                <c:pt idx="2">
                  <c:v>III</c:v>
                </c:pt>
                <c:pt idx="3">
                  <c:v>IV</c:v>
                </c:pt>
                <c:pt idx="4">
                  <c:v>I</c:v>
                </c:pt>
                <c:pt idx="5">
                  <c:v>II</c:v>
                </c:pt>
                <c:pt idx="6">
                  <c:v>III</c:v>
                </c:pt>
                <c:pt idx="7">
                  <c:v>IV</c:v>
                </c:pt>
                <c:pt idx="8">
                  <c:v>I</c:v>
                </c:pt>
              </c:strCache>
            </c:strRef>
          </c:cat>
          <c:val>
            <c:numRef>
              <c:f>Sheet1!$F$2:$F$10</c:f>
              <c:numCache>
                <c:formatCode>0.0</c:formatCode>
                <c:ptCount val="9"/>
                <c:pt idx="0">
                  <c:v>16.7</c:v>
                </c:pt>
                <c:pt idx="1">
                  <c:v>15.2</c:v>
                </c:pt>
                <c:pt idx="2">
                  <c:v>15</c:v>
                </c:pt>
                <c:pt idx="3">
                  <c:v>14.7</c:v>
                </c:pt>
                <c:pt idx="4">
                  <c:v>14.830137640225951</c:v>
                </c:pt>
                <c:pt idx="5">
                  <c:v>12.953367875647666</c:v>
                </c:pt>
                <c:pt idx="6">
                  <c:v>11.614231108497499</c:v>
                </c:pt>
                <c:pt idx="7">
                  <c:v>12.685539403213467</c:v>
                </c:pt>
                <c:pt idx="8">
                  <c:v>13.71725349423356</c:v>
                </c:pt>
              </c:numCache>
            </c:numRef>
          </c:val>
          <c:smooth val="0"/>
          <c:extLst>
            <c:ext xmlns:c16="http://schemas.microsoft.com/office/drawing/2014/chart" uri="{C3380CC4-5D6E-409C-BE32-E72D297353CC}">
              <c16:uniqueId val="{0000000C-5FB3-4428-B4A6-EDBB964BCB1B}"/>
            </c:ext>
          </c:extLst>
        </c:ser>
        <c:dLbls>
          <c:showLegendKey val="0"/>
          <c:showVal val="0"/>
          <c:showCatName val="0"/>
          <c:showSerName val="0"/>
          <c:showPercent val="0"/>
          <c:showBubbleSize val="0"/>
        </c:dLbls>
        <c:marker val="1"/>
        <c:smooth val="0"/>
        <c:axId val="3"/>
        <c:axId val="4"/>
      </c:lineChart>
      <c:catAx>
        <c:axId val="121480768"/>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1400"/>
          <c:min val="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21480768"/>
        <c:crosses val="autoZero"/>
        <c:crossBetween val="between"/>
        <c:majorUnit val="3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22"/>
        </c:scaling>
        <c:delete val="0"/>
        <c:axPos val="r"/>
        <c:numFmt formatCode="0.0" sourceLinked="1"/>
        <c:majorTickMark val="out"/>
        <c:minorTickMark val="none"/>
        <c:tickLblPos val="nextTo"/>
        <c:txPr>
          <a:bodyPr/>
          <a:lstStyle/>
          <a:p>
            <a:pPr>
              <a:defRPr sz="700">
                <a:latin typeface="GHEA Grapalat" panose="02000506050000020003" pitchFamily="50" charset="0"/>
              </a:defRPr>
            </a:pPr>
            <a:endParaRPr lang="en-US"/>
          </a:p>
        </c:txPr>
        <c:crossAx val="3"/>
        <c:crosses val="max"/>
        <c:crossBetween val="between"/>
      </c:valAx>
      <c:spPr>
        <a:solidFill>
          <a:schemeClr val="bg1"/>
        </a:solidFill>
        <a:ln>
          <a:noFill/>
        </a:ln>
        <a:effectLst/>
      </c:spPr>
    </c:plotArea>
    <c:legend>
      <c:legendPos val="b"/>
      <c:layout>
        <c:manualLayout>
          <c:xMode val="edge"/>
          <c:yMode val="edge"/>
          <c:x val="3.0738208622125826E-2"/>
          <c:y val="0.79563405171963064"/>
          <c:w val="0.92413804311612757"/>
          <c:h val="0.19374177829364955"/>
        </c:manualLayout>
      </c:layout>
      <c:overlay val="0"/>
      <c:spPr>
        <a:noFill/>
        <a:ln w="25392">
          <a:noFill/>
        </a:ln>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2" cap="flat" cmpd="sng" algn="ctr">
      <a:solidFill>
        <a:schemeClr val="bg2"/>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716784724618586"/>
        </c:manualLayout>
      </c:layout>
      <c:barChart>
        <c:barDir val="col"/>
        <c:grouping val="clustered"/>
        <c:varyColors val="0"/>
        <c:ser>
          <c:idx val="1"/>
          <c:order val="2"/>
          <c:tx>
            <c:strRef>
              <c:f>Sheet1!$E$1</c:f>
              <c:strCache>
                <c:ptCount val="1"/>
                <c:pt idx="0">
                  <c:v>Պետական հատված</c:v>
                </c:pt>
              </c:strCache>
            </c:strRef>
          </c:tx>
          <c:spPr>
            <a:solidFill>
              <a:srgbClr val="4F81BD">
                <a:lumMod val="60000"/>
                <a:lumOff val="40000"/>
              </a:srgbClr>
            </a:solidFill>
            <a:effectLst/>
          </c:spPr>
          <c:invertIfNegative val="0"/>
          <c:cat>
            <c:strRef>
              <c:f>Sheet1!$B$2:$B$11</c:f>
              <c:strCache>
                <c:ptCount val="10"/>
                <c:pt idx="0">
                  <c:v>I</c:v>
                </c:pt>
                <c:pt idx="1">
                  <c:v>I-II</c:v>
                </c:pt>
                <c:pt idx="2">
                  <c:v>I-III</c:v>
                </c:pt>
                <c:pt idx="3">
                  <c:v>I-IV</c:v>
                </c:pt>
                <c:pt idx="4">
                  <c:v>I</c:v>
                </c:pt>
                <c:pt idx="5">
                  <c:v>I-II</c:v>
                </c:pt>
                <c:pt idx="6">
                  <c:v>I-III</c:v>
                </c:pt>
                <c:pt idx="7">
                  <c:v>I-IV</c:v>
                </c:pt>
                <c:pt idx="8">
                  <c:v>I</c:v>
                </c:pt>
                <c:pt idx="9">
                  <c:v>I-II</c:v>
                </c:pt>
              </c:strCache>
            </c:strRef>
          </c:cat>
          <c:val>
            <c:numRef>
              <c:f>Sheet1!$E$2:$E$11</c:f>
              <c:numCache>
                <c:formatCode>0.0</c:formatCode>
                <c:ptCount val="10"/>
                <c:pt idx="0">
                  <c:v>2.9019239651216822</c:v>
                </c:pt>
                <c:pt idx="1">
                  <c:v>3.8909904487258018</c:v>
                </c:pt>
                <c:pt idx="2">
                  <c:v>3.5966949030454884</c:v>
                </c:pt>
                <c:pt idx="3">
                  <c:v>5.2330498519945507</c:v>
                </c:pt>
                <c:pt idx="4">
                  <c:v>4.0999999999999943</c:v>
                </c:pt>
                <c:pt idx="5">
                  <c:v>4.5000000000000142</c:v>
                </c:pt>
                <c:pt idx="6">
                  <c:v>4.5</c:v>
                </c:pt>
                <c:pt idx="7">
                  <c:v>4.3343342225992529</c:v>
                </c:pt>
                <c:pt idx="8">
                  <c:v>9.0999999999999943</c:v>
                </c:pt>
                <c:pt idx="9" formatCode="General">
                  <c:v>9.1999999999999993</c:v>
                </c:pt>
              </c:numCache>
            </c:numRef>
          </c:val>
          <c:extLst>
            <c:ext xmlns:c16="http://schemas.microsoft.com/office/drawing/2014/chart" uri="{C3380CC4-5D6E-409C-BE32-E72D297353CC}">
              <c16:uniqueId val="{00000000-175F-4426-8F8F-22EC131FC955}"/>
            </c:ext>
          </c:extLst>
        </c:ser>
        <c:ser>
          <c:idx val="2"/>
          <c:order val="3"/>
          <c:tx>
            <c:strRef>
              <c:f>Sheet1!$F$1</c:f>
              <c:strCache>
                <c:ptCount val="1"/>
                <c:pt idx="0">
                  <c:v>Մասնավոր հատված</c:v>
                </c:pt>
              </c:strCache>
            </c:strRef>
          </c:tx>
          <c:spPr>
            <a:solidFill>
              <a:srgbClr val="1F497D"/>
            </a:solidFill>
          </c:spPr>
          <c:invertIfNegative val="0"/>
          <c:cat>
            <c:strRef>
              <c:f>Sheet1!$B$2:$B$11</c:f>
              <c:strCache>
                <c:ptCount val="10"/>
                <c:pt idx="0">
                  <c:v>I</c:v>
                </c:pt>
                <c:pt idx="1">
                  <c:v>I-II</c:v>
                </c:pt>
                <c:pt idx="2">
                  <c:v>I-III</c:v>
                </c:pt>
                <c:pt idx="3">
                  <c:v>I-IV</c:v>
                </c:pt>
                <c:pt idx="4">
                  <c:v>I</c:v>
                </c:pt>
                <c:pt idx="5">
                  <c:v>I-II</c:v>
                </c:pt>
                <c:pt idx="6">
                  <c:v>I-III</c:v>
                </c:pt>
                <c:pt idx="7">
                  <c:v>I-IV</c:v>
                </c:pt>
                <c:pt idx="8">
                  <c:v>I</c:v>
                </c:pt>
                <c:pt idx="9">
                  <c:v>I-II</c:v>
                </c:pt>
              </c:strCache>
            </c:strRef>
          </c:cat>
          <c:val>
            <c:numRef>
              <c:f>Sheet1!$F$2:$F$11</c:f>
              <c:numCache>
                <c:formatCode>0.0</c:formatCode>
                <c:ptCount val="10"/>
                <c:pt idx="0">
                  <c:v>1.7486823752919491</c:v>
                </c:pt>
                <c:pt idx="1">
                  <c:v>5.8940087556901517</c:v>
                </c:pt>
                <c:pt idx="2">
                  <c:v>7.2665084623591696</c:v>
                </c:pt>
                <c:pt idx="3">
                  <c:v>8.3985042520254893</c:v>
                </c:pt>
                <c:pt idx="4">
                  <c:v>11.200000000000017</c:v>
                </c:pt>
                <c:pt idx="5">
                  <c:v>13.199999999999989</c:v>
                </c:pt>
                <c:pt idx="6">
                  <c:v>16.199999999999989</c:v>
                </c:pt>
                <c:pt idx="7">
                  <c:v>19.037528863006202</c:v>
                </c:pt>
                <c:pt idx="8">
                  <c:v>26.700000000000003</c:v>
                </c:pt>
                <c:pt idx="9" formatCode="General">
                  <c:v>22.1</c:v>
                </c:pt>
              </c:numCache>
            </c:numRef>
          </c:val>
          <c:extLst>
            <c:ext xmlns:c16="http://schemas.microsoft.com/office/drawing/2014/chart" uri="{C3380CC4-5D6E-409C-BE32-E72D297353CC}">
              <c16:uniqueId val="{00000001-175F-4426-8F8F-22EC131FC955}"/>
            </c:ext>
          </c:extLst>
        </c:ser>
        <c:dLbls>
          <c:showLegendKey val="0"/>
          <c:showVal val="0"/>
          <c:showCatName val="0"/>
          <c:showSerName val="0"/>
          <c:showPercent val="0"/>
          <c:showBubbleSize val="0"/>
        </c:dLbls>
        <c:gapWidth val="150"/>
        <c:axId val="175222288"/>
        <c:axId val="1"/>
      </c:barChart>
      <c:lineChart>
        <c:grouping val="standard"/>
        <c:varyColors val="0"/>
        <c:ser>
          <c:idx val="3"/>
          <c:order val="0"/>
          <c:tx>
            <c:strRef>
              <c:f>Sheet1!$C$1</c:f>
              <c:strCache>
                <c:ptCount val="1"/>
                <c:pt idx="0">
                  <c:v>Ընդամենը (իրական)</c:v>
                </c:pt>
              </c:strCache>
            </c:strRef>
          </c:tx>
          <c:dLbls>
            <c:dLbl>
              <c:idx val="0"/>
              <c:layout>
                <c:manualLayout>
                  <c:x val="-0.10015054424503243"/>
                  <c:y val="1.0205895577793812E-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75F-4426-8F8F-22EC131FC955}"/>
                </c:ext>
              </c:extLst>
            </c:dLbl>
            <c:dLbl>
              <c:idx val="1"/>
              <c:layout>
                <c:manualLayout>
                  <c:x val="-6.4187021667336627E-2"/>
                  <c:y val="1.62089698946994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75F-4426-8F8F-22EC131FC955}"/>
                </c:ext>
              </c:extLst>
            </c:dLbl>
            <c:dLbl>
              <c:idx val="2"/>
              <c:layout>
                <c:manualLayout>
                  <c:x val="-6.4093069447400189E-2"/>
                  <c:y val="2.12483399734395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75F-4426-8F8F-22EC131FC955}"/>
                </c:ext>
              </c:extLst>
            </c:dLbl>
            <c:dLbl>
              <c:idx val="3"/>
              <c:layout>
                <c:manualLayout>
                  <c:x val="-5.618626500516264E-2"/>
                  <c:y val="2.62538298250567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75F-4426-8F8F-22EC131FC955}"/>
                </c:ext>
              </c:extLst>
            </c:dLbl>
            <c:dLbl>
              <c:idx val="4"/>
              <c:layout>
                <c:manualLayout>
                  <c:x val="-7.225272516611099E-2"/>
                  <c:y val="3.16679737741945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75F-4426-8F8F-22EC131FC955}"/>
                </c:ext>
              </c:extLst>
            </c:dLbl>
            <c:dLbl>
              <c:idx val="5"/>
              <c:layout>
                <c:manualLayout>
                  <c:x val="-7.6076076076075999E-2"/>
                  <c:y val="4.2496679946879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75F-4426-8F8F-22EC131FC955}"/>
                </c:ext>
              </c:extLst>
            </c:dLbl>
            <c:dLbl>
              <c:idx val="6"/>
              <c:layout>
                <c:manualLayout>
                  <c:x val="-6.8068068068067991E-2"/>
                  <c:y val="3.18725099601593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75F-4426-8F8F-22EC131FC955}"/>
                </c:ext>
              </c:extLst>
            </c:dLbl>
            <c:dLbl>
              <c:idx val="7"/>
              <c:layout>
                <c:manualLayout>
                  <c:x val="-8.0080080080080232E-2"/>
                  <c:y val="2.656042496679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75F-4426-8F8F-22EC131FC955}"/>
                </c:ext>
              </c:extLst>
            </c:dLbl>
            <c:dLbl>
              <c:idx val="8"/>
              <c:layout>
                <c:manualLayout>
                  <c:x val="-9.2092092092092237E-2"/>
                  <c:y val="-1.06241699867197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75F-4426-8F8F-22EC131FC955}"/>
                </c:ext>
              </c:extLst>
            </c:dLbl>
            <c:spPr>
              <a:noFill/>
              <a:ln w="25364">
                <a:noFill/>
              </a:ln>
            </c:spPr>
            <c:txPr>
              <a:bodyPr wrap="square" lIns="38100" tIns="19050" rIns="38100" bIns="19050" anchor="ctr">
                <a:spAutoFit/>
              </a:bodyPr>
              <a:lstStyle/>
              <a:p>
                <a:pPr>
                  <a:defRPr sz="699">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Sheet1!$A$2:$B$11</c:f>
              <c:multiLvlStrCache>
                <c:ptCount val="10"/>
                <c:lvl>
                  <c:pt idx="0">
                    <c:v>I</c:v>
                  </c:pt>
                  <c:pt idx="1">
                    <c:v>I-II</c:v>
                  </c:pt>
                  <c:pt idx="2">
                    <c:v>I-III</c:v>
                  </c:pt>
                  <c:pt idx="3">
                    <c:v>I-IV</c:v>
                  </c:pt>
                  <c:pt idx="4">
                    <c:v>I</c:v>
                  </c:pt>
                  <c:pt idx="5">
                    <c:v>I-II</c:v>
                  </c:pt>
                  <c:pt idx="6">
                    <c:v>I-III</c:v>
                  </c:pt>
                  <c:pt idx="7">
                    <c:v>I-IV</c:v>
                  </c:pt>
                  <c:pt idx="8">
                    <c:v>I</c:v>
                  </c:pt>
                  <c:pt idx="9">
                    <c:v>I-II</c:v>
                  </c:pt>
                </c:lvl>
                <c:lvl>
                  <c:pt idx="0">
                    <c:v>2021</c:v>
                  </c:pt>
                  <c:pt idx="4">
                    <c:v>2022</c:v>
                  </c:pt>
                  <c:pt idx="8">
                    <c:v>2023</c:v>
                  </c:pt>
                </c:lvl>
              </c:multiLvlStrCache>
            </c:multiLvlStrRef>
          </c:cat>
          <c:val>
            <c:numRef>
              <c:f>Sheet1!$C$2:$C$11</c:f>
              <c:numCache>
                <c:formatCode>0.0</c:formatCode>
                <c:ptCount val="10"/>
                <c:pt idx="0">
                  <c:v>-2.9437071469907323</c:v>
                </c:pt>
                <c:pt idx="1">
                  <c:v>-0.29387735169029838</c:v>
                </c:pt>
                <c:pt idx="2">
                  <c:v>-0.30607352015691447</c:v>
                </c:pt>
                <c:pt idx="3">
                  <c:v>0.34483750456961104</c:v>
                </c:pt>
                <c:pt idx="4">
                  <c:v>2.4346780252902676</c:v>
                </c:pt>
                <c:pt idx="5">
                  <c:v>2.9426608849344404</c:v>
                </c:pt>
                <c:pt idx="6">
                  <c:v>4.4551420845944563</c:v>
                </c:pt>
                <c:pt idx="7">
                  <c:v>6.2686838785199086</c:v>
                </c:pt>
                <c:pt idx="8">
                  <c:v>14.645522388059689</c:v>
                </c:pt>
                <c:pt idx="9">
                  <c:v>14.7</c:v>
                </c:pt>
              </c:numCache>
            </c:numRef>
          </c:val>
          <c:smooth val="0"/>
          <c:extLst>
            <c:ext xmlns:c16="http://schemas.microsoft.com/office/drawing/2014/chart" uri="{C3380CC4-5D6E-409C-BE32-E72D297353CC}">
              <c16:uniqueId val="{0000000B-175F-4426-8F8F-22EC131FC955}"/>
            </c:ext>
          </c:extLst>
        </c:ser>
        <c:ser>
          <c:idx val="0"/>
          <c:order val="1"/>
          <c:tx>
            <c:strRef>
              <c:f>Sheet1!$D$1</c:f>
              <c:strCache>
                <c:ptCount val="1"/>
                <c:pt idx="0">
                  <c:v>Ընդամենը (անվանական)</c:v>
                </c:pt>
              </c:strCache>
            </c:strRef>
          </c:tx>
          <c:spPr>
            <a:ln w="28535" cap="rnd">
              <a:solidFill>
                <a:schemeClr val="accent1"/>
              </a:solidFill>
              <a:round/>
            </a:ln>
            <a:effectLst/>
          </c:spPr>
          <c:dLbls>
            <c:dLbl>
              <c:idx val="0"/>
              <c:layout>
                <c:manualLayout>
                  <c:x val="-6.6323331205220964E-2"/>
                  <c:y val="-3.73473036985914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75F-4426-8F8F-22EC131FC955}"/>
                </c:ext>
              </c:extLst>
            </c:dLbl>
            <c:dLbl>
              <c:idx val="1"/>
              <c:layout>
                <c:manualLayout>
                  <c:x val="-6.610074641570704E-2"/>
                  <c:y val="-3.41897501856092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75F-4426-8F8F-22EC131FC955}"/>
                </c:ext>
              </c:extLst>
            </c:dLbl>
            <c:dLbl>
              <c:idx val="2"/>
              <c:layout>
                <c:manualLayout>
                  <c:x val="-6.1471235014542103E-2"/>
                  <c:y val="-3.71197624201357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75F-4426-8F8F-22EC131FC955}"/>
                </c:ext>
              </c:extLst>
            </c:dLbl>
            <c:dLbl>
              <c:idx val="3"/>
              <c:layout>
                <c:manualLayout>
                  <c:x val="-6.6100904053659953E-2"/>
                  <c:y val="-3.84848293963254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75F-4426-8F8F-22EC131FC955}"/>
                </c:ext>
              </c:extLst>
            </c:dLbl>
            <c:dLbl>
              <c:idx val="4"/>
              <c:layout>
                <c:manualLayout>
                  <c:x val="-7.7966785683321119E-2"/>
                  <c:y val="-3.73335006430969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75F-4426-8F8F-22EC131FC955}"/>
                </c:ext>
              </c:extLst>
            </c:dLbl>
            <c:dLbl>
              <c:idx val="5"/>
              <c:layout>
                <c:manualLayout>
                  <c:x val="-7.4296658863588078E-2"/>
                  <c:y val="-4.26664993569030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75F-4426-8F8F-22EC131FC955}"/>
                </c:ext>
              </c:extLst>
            </c:dLbl>
            <c:dLbl>
              <c:idx val="6"/>
              <c:layout>
                <c:manualLayout>
                  <c:x val="-6.9958847736625668E-2"/>
                  <c:y val="-2.6666666666666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75F-4426-8F8F-22EC131FC955}"/>
                </c:ext>
              </c:extLst>
            </c:dLbl>
            <c:dLbl>
              <c:idx val="7"/>
              <c:layout>
                <c:manualLayout>
                  <c:x val="-7.7855493288564004E-2"/>
                  <c:y val="-3.20000836548817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75F-4426-8F8F-22EC131FC955}"/>
                </c:ext>
              </c:extLst>
            </c:dLbl>
            <c:dLbl>
              <c:idx val="8"/>
              <c:layout>
                <c:manualLayout>
                  <c:x val="-9.6096096096096095E-2"/>
                  <c:y val="-3.18725099601593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175F-4426-8F8F-22EC131FC955}"/>
                </c:ext>
              </c:extLst>
            </c:dLbl>
            <c:spPr>
              <a:noFill/>
              <a:ln w="25364">
                <a:noFill/>
              </a:ln>
            </c:spPr>
            <c:txPr>
              <a:bodyPr rot="0" spcFirstLastPara="1" vertOverflow="ellipsis" vert="horz" wrap="square" lIns="38100" tIns="19050" rIns="38100" bIns="19050" anchor="ctr" anchorCtr="1">
                <a:spAutoFit/>
              </a:bodyPr>
              <a:lstStyle/>
              <a:p>
                <a:pPr>
                  <a:defRPr sz="699"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Sheet1!$A$2:$B$11</c:f>
              <c:multiLvlStrCache>
                <c:ptCount val="10"/>
                <c:lvl>
                  <c:pt idx="0">
                    <c:v>I</c:v>
                  </c:pt>
                  <c:pt idx="1">
                    <c:v>I-II</c:v>
                  </c:pt>
                  <c:pt idx="2">
                    <c:v>I-III</c:v>
                  </c:pt>
                  <c:pt idx="3">
                    <c:v>I-IV</c:v>
                  </c:pt>
                  <c:pt idx="4">
                    <c:v>I</c:v>
                  </c:pt>
                  <c:pt idx="5">
                    <c:v>I-II</c:v>
                  </c:pt>
                  <c:pt idx="6">
                    <c:v>I-III</c:v>
                  </c:pt>
                  <c:pt idx="7">
                    <c:v>I-IV</c:v>
                  </c:pt>
                  <c:pt idx="8">
                    <c:v>I</c:v>
                  </c:pt>
                  <c:pt idx="9">
                    <c:v>I-II</c:v>
                  </c:pt>
                </c:lvl>
                <c:lvl>
                  <c:pt idx="0">
                    <c:v>2021</c:v>
                  </c:pt>
                  <c:pt idx="4">
                    <c:v>2022</c:v>
                  </c:pt>
                  <c:pt idx="8">
                    <c:v>2023</c:v>
                  </c:pt>
                </c:lvl>
              </c:multiLvlStrCache>
            </c:multiLvlStrRef>
          </c:cat>
          <c:val>
            <c:numRef>
              <c:f>Sheet1!$D$2:$D$11</c:f>
              <c:numCache>
                <c:formatCode>0.0</c:formatCode>
                <c:ptCount val="10"/>
                <c:pt idx="0">
                  <c:v>2.1112954144621767</c:v>
                </c:pt>
                <c:pt idx="1">
                  <c:v>5.3878470977021493</c:v>
                </c:pt>
                <c:pt idx="2">
                  <c:v>6.3302586250208321</c:v>
                </c:pt>
                <c:pt idx="3">
                  <c:v>7.5544498091884691</c:v>
                </c:pt>
                <c:pt idx="4">
                  <c:v>9.6000000000000085</c:v>
                </c:pt>
                <c:pt idx="5">
                  <c:v>11.299999999999997</c:v>
                </c:pt>
                <c:pt idx="6">
                  <c:v>13.400000000000006</c:v>
                </c:pt>
                <c:pt idx="7">
                  <c:v>15.45126636869756</c:v>
                </c:pt>
                <c:pt idx="8">
                  <c:v>22.900000000000006</c:v>
                </c:pt>
                <c:pt idx="9">
                  <c:v>19.5</c:v>
                </c:pt>
              </c:numCache>
            </c:numRef>
          </c:val>
          <c:smooth val="0"/>
          <c:extLst>
            <c:ext xmlns:c16="http://schemas.microsoft.com/office/drawing/2014/chart" uri="{C3380CC4-5D6E-409C-BE32-E72D297353CC}">
              <c16:uniqueId val="{00000015-175F-4426-8F8F-22EC131FC955}"/>
            </c:ext>
          </c:extLst>
        </c:ser>
        <c:dLbls>
          <c:showLegendKey val="0"/>
          <c:showVal val="0"/>
          <c:showCatName val="0"/>
          <c:showSerName val="0"/>
          <c:showPercent val="0"/>
          <c:showBubbleSize val="0"/>
        </c:dLbls>
        <c:marker val="1"/>
        <c:smooth val="0"/>
        <c:axId val="175222288"/>
        <c:axId val="1"/>
      </c:lineChart>
      <c:catAx>
        <c:axId val="175222288"/>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200"/>
        <c:noMultiLvlLbl val="0"/>
      </c:catAx>
      <c:valAx>
        <c:axId val="1"/>
        <c:scaling>
          <c:orientation val="minMax"/>
          <c:max val="30"/>
          <c:min val="-5"/>
        </c:scaling>
        <c:delete val="0"/>
        <c:axPos val="l"/>
        <c:majorGridlines>
          <c:spPr>
            <a:ln w="9512" cap="flat" cmpd="sng" algn="ctr">
              <a:solidFill>
                <a:schemeClr val="tx1">
                  <a:lumMod val="15000"/>
                  <a:lumOff val="85000"/>
                </a:schemeClr>
              </a:solidFill>
              <a:round/>
            </a:ln>
            <a:effectLst/>
          </c:spPr>
        </c:majorGridlines>
        <c:numFmt formatCode="0.0" sourceLinked="1"/>
        <c:majorTickMark val="none"/>
        <c:minorTickMark val="none"/>
        <c:tickLblPos val="nextTo"/>
        <c:spPr>
          <a:ln w="9512">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75222288"/>
        <c:crosses val="autoZero"/>
        <c:crossBetween val="between"/>
        <c:majorUnit val="5"/>
      </c:valAx>
      <c:spPr>
        <a:solidFill>
          <a:schemeClr val="bg1"/>
        </a:solidFill>
        <a:ln>
          <a:noFill/>
        </a:ln>
        <a:effectLst/>
      </c:spPr>
    </c:plotArea>
    <c:legend>
      <c:legendPos val="b"/>
      <c:layout>
        <c:manualLayout>
          <c:xMode val="edge"/>
          <c:yMode val="edge"/>
          <c:x val="3.1627848320761709E-2"/>
          <c:y val="0.85932804216206027"/>
          <c:w val="0.91926004744902379"/>
          <c:h val="0.10348736288442033"/>
        </c:manualLayout>
      </c:layout>
      <c:overlay val="0"/>
      <c:spPr>
        <a:noFill/>
        <a:ln w="25364">
          <a:noFill/>
        </a:ln>
      </c:spPr>
      <c:txPr>
        <a:bodyPr rot="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2" cap="flat" cmpd="sng" algn="ctr">
      <a:solidFill>
        <a:schemeClr val="bg2"/>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35874707278361E-2"/>
          <c:y val="4.9886916677788155E-2"/>
          <c:w val="0.91180803746837036"/>
          <c:h val="0.66540504470839446"/>
        </c:manualLayout>
      </c:layout>
      <c:lineChart>
        <c:grouping val="standard"/>
        <c:varyColors val="0"/>
        <c:ser>
          <c:idx val="0"/>
          <c:order val="0"/>
          <c:tx>
            <c:strRef>
              <c:f>Sheet1!$D$1</c:f>
              <c:strCache>
                <c:ptCount val="1"/>
                <c:pt idx="0">
                  <c:v>12 ամսյա գնաճ, %</c:v>
                </c:pt>
              </c:strCache>
            </c:strRef>
          </c:tx>
          <c:spPr>
            <a:ln w="28564" cap="rnd">
              <a:solidFill>
                <a:srgbClr val="ED7D31">
                  <a:lumMod val="60000"/>
                  <a:lumOff val="40000"/>
                </a:srgb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Sheet1!$D$2:$D$67</c:f>
              <c:numCache>
                <c:formatCode>0.0</c:formatCode>
                <c:ptCount val="54"/>
                <c:pt idx="0">
                  <c:v>0.79097636655596659</c:v>
                </c:pt>
                <c:pt idx="1">
                  <c:v>1.8976618564860388</c:v>
                </c:pt>
                <c:pt idx="2">
                  <c:v>1.8811658309777073</c:v>
                </c:pt>
                <c:pt idx="3">
                  <c:v>2.1504850922056562</c:v>
                </c:pt>
                <c:pt idx="4">
                  <c:v>2.7652597181532172</c:v>
                </c:pt>
                <c:pt idx="5">
                  <c:v>2.5</c:v>
                </c:pt>
                <c:pt idx="6">
                  <c:v>1.6569795204561331</c:v>
                </c:pt>
                <c:pt idx="7">
                  <c:v>0.62771323268484025</c:v>
                </c:pt>
                <c:pt idx="8">
                  <c:v>0.5</c:v>
                </c:pt>
                <c:pt idx="9">
                  <c:v>0.90000000000000568</c:v>
                </c:pt>
                <c:pt idx="10">
                  <c:v>1</c:v>
                </c:pt>
                <c:pt idx="11">
                  <c:v>0.72816647656999578</c:v>
                </c:pt>
                <c:pt idx="12">
                  <c:v>0.27658563406973258</c:v>
                </c:pt>
                <c:pt idx="13">
                  <c:v>-0.54084569473241118</c:v>
                </c:pt>
                <c:pt idx="14">
                  <c:v>-0.11022336893752538</c:v>
                </c:pt>
                <c:pt idx="15">
                  <c:v>0.85542195074623351</c:v>
                </c:pt>
                <c:pt idx="16">
                  <c:v>1.1580085630596528</c:v>
                </c:pt>
                <c:pt idx="17">
                  <c:v>1.6775261712177212</c:v>
                </c:pt>
                <c:pt idx="18">
                  <c:v>1.5187898303232146</c:v>
                </c:pt>
                <c:pt idx="19">
                  <c:v>1.8167405331190878</c:v>
                </c:pt>
                <c:pt idx="20">
                  <c:v>1.4326844717312213</c:v>
                </c:pt>
                <c:pt idx="21">
                  <c:v>1.3441364663858479</c:v>
                </c:pt>
                <c:pt idx="22">
                  <c:v>1.5585891969706438</c:v>
                </c:pt>
                <c:pt idx="23">
                  <c:v>3.6638246566360237</c:v>
                </c:pt>
                <c:pt idx="24">
                  <c:v>4.5148886220006261</c:v>
                </c:pt>
                <c:pt idx="25">
                  <c:v>5.3267515218621924</c:v>
                </c:pt>
                <c:pt idx="26">
                  <c:v>5.7810093225161552</c:v>
                </c:pt>
                <c:pt idx="27">
                  <c:v>6.1569193415054002</c:v>
                </c:pt>
                <c:pt idx="28">
                  <c:v>5.9006948589342016</c:v>
                </c:pt>
                <c:pt idx="29">
                  <c:v>6.5046445234588646</c:v>
                </c:pt>
                <c:pt idx="30">
                  <c:v>8.2227275731544154</c:v>
                </c:pt>
                <c:pt idx="31">
                  <c:v>8.7823860822581139</c:v>
                </c:pt>
                <c:pt idx="32">
                  <c:v>8.8886539553763413</c:v>
                </c:pt>
                <c:pt idx="33">
                  <c:v>9.1040943851299545</c:v>
                </c:pt>
                <c:pt idx="34">
                  <c:v>9.5566762184085832</c:v>
                </c:pt>
                <c:pt idx="35">
                  <c:v>7.6754534627573037</c:v>
                </c:pt>
                <c:pt idx="36">
                  <c:v>7.0769205766379315</c:v>
                </c:pt>
                <c:pt idx="37">
                  <c:v>6.5432090002156116</c:v>
                </c:pt>
                <c:pt idx="38">
                  <c:v>7.3617969746003382</c:v>
                </c:pt>
                <c:pt idx="39">
                  <c:v>8.4252580519207356</c:v>
                </c:pt>
                <c:pt idx="40">
                  <c:v>8.9862917816955417</c:v>
                </c:pt>
                <c:pt idx="41">
                  <c:v>10.274467693331786</c:v>
                </c:pt>
                <c:pt idx="42">
                  <c:v>9.3216627279495867</c:v>
                </c:pt>
                <c:pt idx="43">
                  <c:v>9.1287829914562479</c:v>
                </c:pt>
                <c:pt idx="44">
                  <c:v>9.9151144159470022</c:v>
                </c:pt>
                <c:pt idx="45">
                  <c:v>9.5</c:v>
                </c:pt>
                <c:pt idx="46">
                  <c:v>8.8446621147540014</c:v>
                </c:pt>
                <c:pt idx="47">
                  <c:v>8.3026886372339987</c:v>
                </c:pt>
                <c:pt idx="48">
                  <c:v>8.0513101873760036</c:v>
                </c:pt>
                <c:pt idx="49">
                  <c:v>8.0504413480060038</c:v>
                </c:pt>
                <c:pt idx="50">
                  <c:v>5.4496798492630063</c:v>
                </c:pt>
                <c:pt idx="51">
                  <c:v>3.2368670906421926</c:v>
                </c:pt>
                <c:pt idx="52">
                  <c:v>1.3</c:v>
                </c:pt>
                <c:pt idx="53">
                  <c:v>-0.5</c:v>
                </c:pt>
              </c:numCache>
            </c:numRef>
          </c:val>
          <c:smooth val="0"/>
          <c:extLst>
            <c:ext xmlns:c16="http://schemas.microsoft.com/office/drawing/2014/chart" uri="{C3380CC4-5D6E-409C-BE32-E72D297353CC}">
              <c16:uniqueId val="{00000000-EF0C-4326-97E1-B199A1E006CA}"/>
            </c:ext>
          </c:extLst>
        </c:ser>
        <c:ser>
          <c:idx val="1"/>
          <c:order val="1"/>
          <c:tx>
            <c:strRef>
              <c:f>Sheet1!$E$1</c:f>
              <c:strCache>
                <c:ptCount val="1"/>
                <c:pt idx="0">
                  <c:v>Վերաֆինանսավորման տոկոսադրույք, %</c:v>
                </c:pt>
              </c:strCache>
            </c:strRef>
          </c:tx>
          <c:spPr>
            <a:ln w="28564" cap="rnd">
              <a:solidFill>
                <a:srgbClr val="4472C4">
                  <a:lumMod val="50000"/>
                </a:srgb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Sheet1!$E$2:$E$67</c:f>
              <c:numCache>
                <c:formatCode>0.00</c:formatCode>
                <c:ptCount val="54"/>
                <c:pt idx="0">
                  <c:v>5.75</c:v>
                </c:pt>
                <c:pt idx="1">
                  <c:v>5.75</c:v>
                </c:pt>
                <c:pt idx="2">
                  <c:v>5.75</c:v>
                </c:pt>
                <c:pt idx="3">
                  <c:v>5.75</c:v>
                </c:pt>
                <c:pt idx="4">
                  <c:v>5.75</c:v>
                </c:pt>
                <c:pt idx="5">
                  <c:v>5.75</c:v>
                </c:pt>
                <c:pt idx="6">
                  <c:v>5.75</c:v>
                </c:pt>
                <c:pt idx="7">
                  <c:v>5.75</c:v>
                </c:pt>
                <c:pt idx="8">
                  <c:v>5.5</c:v>
                </c:pt>
                <c:pt idx="9">
                  <c:v>5.5</c:v>
                </c:pt>
                <c:pt idx="10">
                  <c:v>5.5</c:v>
                </c:pt>
                <c:pt idx="11">
                  <c:v>5.5</c:v>
                </c:pt>
                <c:pt idx="12">
                  <c:v>5.5</c:v>
                </c:pt>
                <c:pt idx="13">
                  <c:v>5.5</c:v>
                </c:pt>
                <c:pt idx="14">
                  <c:v>5.25</c:v>
                </c:pt>
                <c:pt idx="15">
                  <c:v>5</c:v>
                </c:pt>
                <c:pt idx="16">
                  <c:v>5</c:v>
                </c:pt>
                <c:pt idx="17">
                  <c:v>4.5</c:v>
                </c:pt>
                <c:pt idx="18">
                  <c:v>4.5</c:v>
                </c:pt>
                <c:pt idx="19">
                  <c:v>4.5</c:v>
                </c:pt>
                <c:pt idx="20">
                  <c:v>4.25</c:v>
                </c:pt>
                <c:pt idx="21">
                  <c:v>4.25</c:v>
                </c:pt>
                <c:pt idx="22">
                  <c:v>4.25</c:v>
                </c:pt>
                <c:pt idx="23">
                  <c:v>5.25</c:v>
                </c:pt>
                <c:pt idx="24">
                  <c:v>5.25</c:v>
                </c:pt>
                <c:pt idx="25">
                  <c:v>5.5</c:v>
                </c:pt>
                <c:pt idx="26">
                  <c:v>5.5</c:v>
                </c:pt>
                <c:pt idx="27">
                  <c:v>5.5</c:v>
                </c:pt>
                <c:pt idx="28">
                  <c:v>6</c:v>
                </c:pt>
                <c:pt idx="29">
                  <c:v>6.5</c:v>
                </c:pt>
                <c:pt idx="30">
                  <c:v>6.5</c:v>
                </c:pt>
                <c:pt idx="31">
                  <c:v>7</c:v>
                </c:pt>
                <c:pt idx="32">
                  <c:v>7.25</c:v>
                </c:pt>
                <c:pt idx="33">
                  <c:v>7.25</c:v>
                </c:pt>
                <c:pt idx="34">
                  <c:v>7.25</c:v>
                </c:pt>
                <c:pt idx="35">
                  <c:v>7.75</c:v>
                </c:pt>
                <c:pt idx="36">
                  <c:v>7.75</c:v>
                </c:pt>
                <c:pt idx="37">
                  <c:v>8</c:v>
                </c:pt>
                <c:pt idx="38">
                  <c:v>9.25</c:v>
                </c:pt>
                <c:pt idx="39">
                  <c:v>9.25</c:v>
                </c:pt>
                <c:pt idx="40">
                  <c:v>9.25</c:v>
                </c:pt>
                <c:pt idx="41">
                  <c:v>9.25</c:v>
                </c:pt>
                <c:pt idx="42">
                  <c:v>9.25</c:v>
                </c:pt>
                <c:pt idx="43">
                  <c:v>9.5</c:v>
                </c:pt>
                <c:pt idx="44">
                  <c:v>10</c:v>
                </c:pt>
                <c:pt idx="45">
                  <c:v>10</c:v>
                </c:pt>
                <c:pt idx="46">
                  <c:v>10.5</c:v>
                </c:pt>
                <c:pt idx="47">
                  <c:v>10.75</c:v>
                </c:pt>
                <c:pt idx="48">
                  <c:v>10.75</c:v>
                </c:pt>
                <c:pt idx="49">
                  <c:v>10.75</c:v>
                </c:pt>
                <c:pt idx="50">
                  <c:v>10.75</c:v>
                </c:pt>
                <c:pt idx="51">
                  <c:v>10.75</c:v>
                </c:pt>
                <c:pt idx="52">
                  <c:v>10.75</c:v>
                </c:pt>
                <c:pt idx="53">
                  <c:v>10.5</c:v>
                </c:pt>
              </c:numCache>
            </c:numRef>
          </c:val>
          <c:smooth val="0"/>
          <c:extLst>
            <c:ext xmlns:c16="http://schemas.microsoft.com/office/drawing/2014/chart" uri="{C3380CC4-5D6E-409C-BE32-E72D297353CC}">
              <c16:uniqueId val="{00000001-EF0C-4326-97E1-B199A1E006CA}"/>
            </c:ext>
          </c:extLst>
        </c:ser>
        <c:ser>
          <c:idx val="2"/>
          <c:order val="2"/>
          <c:tx>
            <c:strRef>
              <c:f>Sheet1!$C$1</c:f>
              <c:strCache>
                <c:ptCount val="1"/>
                <c:pt idx="0">
                  <c:v>Բնականոն գնաճ, %</c:v>
                </c:pt>
              </c:strCache>
            </c:strRef>
          </c:tx>
          <c:spPr>
            <a:ln>
              <a:solidFill>
                <a:sysClr val="window" lastClr="FFFFFF">
                  <a:lumMod val="50000"/>
                </a:sysClr>
              </a:solidFill>
            </a:ln>
          </c:spPr>
          <c:marker>
            <c:symbol val="none"/>
          </c:marker>
          <c:val>
            <c:numRef>
              <c:f>Sheet1!$C$14:$C$67</c:f>
              <c:numCache>
                <c:formatCode>0.0</c:formatCode>
                <c:ptCount val="54"/>
                <c:pt idx="0">
                  <c:v>1.4563896873120115</c:v>
                </c:pt>
                <c:pt idx="1">
                  <c:v>1.3360206114939643</c:v>
                </c:pt>
                <c:pt idx="2">
                  <c:v>1.2771887180059309</c:v>
                </c:pt>
                <c:pt idx="3">
                  <c:v>1.1877620101242883</c:v>
                </c:pt>
                <c:pt idx="4">
                  <c:v>1.3884989506365031</c:v>
                </c:pt>
                <c:pt idx="5">
                  <c:v>1.4765728279502213</c:v>
                </c:pt>
                <c:pt idx="6">
                  <c:v>1.4806012555558254</c:v>
                </c:pt>
                <c:pt idx="7">
                  <c:v>1.2974576939890596</c:v>
                </c:pt>
                <c:pt idx="8">
                  <c:v>1.1059473147374064</c:v>
                </c:pt>
                <c:pt idx="9">
                  <c:v>0.70910691439891593</c:v>
                </c:pt>
                <c:pt idx="10">
                  <c:v>0.63481763451314066</c:v>
                </c:pt>
                <c:pt idx="11">
                  <c:v>0.66237483910065009</c:v>
                </c:pt>
                <c:pt idx="12">
                  <c:v>0.86538957196520983</c:v>
                </c:pt>
                <c:pt idx="13">
                  <c:v>0.77184062474053405</c:v>
                </c:pt>
                <c:pt idx="14">
                  <c:v>0.54227164049494547</c:v>
                </c:pt>
                <c:pt idx="15">
                  <c:v>1.1321822131247927</c:v>
                </c:pt>
                <c:pt idx="16">
                  <c:v>0.86253079378988673</c:v>
                </c:pt>
                <c:pt idx="17">
                  <c:v>0.77684596156544217</c:v>
                </c:pt>
                <c:pt idx="18">
                  <c:v>0.8340682821257559</c:v>
                </c:pt>
                <c:pt idx="19">
                  <c:v>1.0666176019744</c:v>
                </c:pt>
                <c:pt idx="20">
                  <c:v>1.3397678509690962</c:v>
                </c:pt>
                <c:pt idx="21">
                  <c:v>1.677154081686254</c:v>
                </c:pt>
                <c:pt idx="22">
                  <c:v>1.9837670848593518</c:v>
                </c:pt>
                <c:pt idx="23">
                  <c:v>3.6204833935339735</c:v>
                </c:pt>
                <c:pt idx="24">
                  <c:v>4.6779235852640682</c:v>
                </c:pt>
                <c:pt idx="25">
                  <c:v>5.4846481634119186</c:v>
                </c:pt>
                <c:pt idx="26">
                  <c:v>6.6300845552899972</c:v>
                </c:pt>
                <c:pt idx="27">
                  <c:v>6.7626395686116751</c:v>
                </c:pt>
                <c:pt idx="28">
                  <c:v>7.4114337608134804</c:v>
                </c:pt>
                <c:pt idx="29">
                  <c:v>7.8323845176300608</c:v>
                </c:pt>
                <c:pt idx="30">
                  <c:v>8.1093537485616309</c:v>
                </c:pt>
                <c:pt idx="31">
                  <c:v>8.0379242186285609</c:v>
                </c:pt>
                <c:pt idx="32">
                  <c:v>7.9880734583744442</c:v>
                </c:pt>
                <c:pt idx="33">
                  <c:v>7.8765202676341914</c:v>
                </c:pt>
                <c:pt idx="34">
                  <c:v>8.3772656385054063</c:v>
                </c:pt>
                <c:pt idx="35">
                  <c:v>7.2509011281681808</c:v>
                </c:pt>
                <c:pt idx="36">
                  <c:v>6.60162670741569</c:v>
                </c:pt>
                <c:pt idx="37">
                  <c:v>6.3614506423955959</c:v>
                </c:pt>
                <c:pt idx="38">
                  <c:v>6.9671454857929405</c:v>
                </c:pt>
                <c:pt idx="39">
                  <c:v>7.9799047833968757</c:v>
                </c:pt>
                <c:pt idx="40">
                  <c:v>8.3564098161367042</c:v>
                </c:pt>
                <c:pt idx="41">
                  <c:v>9.4404331247470736</c:v>
                </c:pt>
                <c:pt idx="42">
                  <c:v>10.10041008820204</c:v>
                </c:pt>
                <c:pt idx="43">
                  <c:v>10.230227924035546</c:v>
                </c:pt>
                <c:pt idx="44">
                  <c:v>10.540276376631112</c:v>
                </c:pt>
                <c:pt idx="45">
                  <c:v>10.488322377082326</c:v>
                </c:pt>
                <c:pt idx="46">
                  <c:v>9.8756503499295007</c:v>
                </c:pt>
                <c:pt idx="47">
                  <c:v>9.4793414473783173</c:v>
                </c:pt>
                <c:pt idx="48">
                  <c:v>9.0991561824239966</c:v>
                </c:pt>
                <c:pt idx="49">
                  <c:v>8.3569861398929959</c:v>
                </c:pt>
                <c:pt idx="50">
                  <c:v>6.4066571555730008</c:v>
                </c:pt>
                <c:pt idx="51">
                  <c:v>4.3045803295163267</c:v>
                </c:pt>
                <c:pt idx="52">
                  <c:v>3.0865032447455718</c:v>
                </c:pt>
                <c:pt idx="53">
                  <c:v>1.4518285160379776</c:v>
                </c:pt>
              </c:numCache>
            </c:numRef>
          </c:val>
          <c:smooth val="0"/>
          <c:extLst>
            <c:ext xmlns:c16="http://schemas.microsoft.com/office/drawing/2014/chart" uri="{C3380CC4-5D6E-409C-BE32-E72D297353CC}">
              <c16:uniqueId val="{00000002-EF0C-4326-97E1-B199A1E006CA}"/>
            </c:ext>
          </c:extLst>
        </c:ser>
        <c:dLbls>
          <c:showLegendKey val="0"/>
          <c:showVal val="0"/>
          <c:showCatName val="0"/>
          <c:showSerName val="0"/>
          <c:showPercent val="0"/>
          <c:showBubbleSize val="0"/>
        </c:dLbls>
        <c:smooth val="0"/>
        <c:axId val="806867600"/>
        <c:axId val="1"/>
      </c:lineChart>
      <c:catAx>
        <c:axId val="806867600"/>
        <c:scaling>
          <c:orientation val="minMax"/>
        </c:scaling>
        <c:delete val="0"/>
        <c:axPos val="b"/>
        <c:numFmt formatCode="General" sourceLinked="1"/>
        <c:majorTickMark val="none"/>
        <c:minorTickMark val="none"/>
        <c:tickLblPos val="low"/>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0"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867600"/>
        <c:crosses val="autoZero"/>
        <c:crossBetween val="between"/>
      </c:valAx>
      <c:spPr>
        <a:noFill/>
        <a:ln w="25390">
          <a:noFill/>
        </a:ln>
      </c:spPr>
    </c:plotArea>
    <c:legend>
      <c:legendPos val="b"/>
      <c:layout/>
      <c:overlay val="0"/>
      <c:spPr>
        <a:noFill/>
        <a:ln w="2539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1"/>
              <a:t>12</a:t>
            </a:r>
            <a:r>
              <a:rPr lang="hy-AM" sz="1100" b="1"/>
              <a:t> ամսյա գնաճը</a:t>
            </a:r>
            <a:r>
              <a:rPr lang="en-US" sz="1100" b="1"/>
              <a:t>,</a:t>
            </a:r>
            <a:r>
              <a:rPr lang="en-US" sz="1100" b="1" baseline="0"/>
              <a:t> %</a:t>
            </a:r>
            <a:endParaRPr lang="en-US" sz="1100" b="1"/>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312423813132145"/>
          <c:w val="0.84290099330803991"/>
          <c:h val="0.51905995014221551"/>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Sheet1!$D$28:$D$65</c:f>
              <c:numCache>
                <c:formatCode>0.0</c:formatCode>
                <c:ptCount val="18"/>
                <c:pt idx="0">
                  <c:v>1.4224399999999999</c:v>
                </c:pt>
                <c:pt idx="1">
                  <c:v>1.9020999999999999</c:v>
                </c:pt>
                <c:pt idx="2">
                  <c:v>-0.57889999999999997</c:v>
                </c:pt>
                <c:pt idx="3">
                  <c:v>-0.13645500000000002</c:v>
                </c:pt>
                <c:pt idx="4">
                  <c:v>-1.1761594</c:v>
                </c:pt>
                <c:pt idx="5">
                  <c:v>0.78459999999999996</c:v>
                </c:pt>
                <c:pt idx="6">
                  <c:v>0.34734000000000004</c:v>
                </c:pt>
                <c:pt idx="7">
                  <c:v>1.937962</c:v>
                </c:pt>
                <c:pt idx="8">
                  <c:v>2.7530960000000007</c:v>
                </c:pt>
                <c:pt idx="9">
                  <c:v>3.2739520000000004</c:v>
                </c:pt>
                <c:pt idx="10">
                  <c:v>5.7294159999999996</c:v>
                </c:pt>
                <c:pt idx="11">
                  <c:v>4.7993160000000001</c:v>
                </c:pt>
                <c:pt idx="12">
                  <c:v>4.7621120000000001</c:v>
                </c:pt>
                <c:pt idx="13">
                  <c:v>6.3618840000000008</c:v>
                </c:pt>
                <c:pt idx="14">
                  <c:v>5.0969480000000003</c:v>
                </c:pt>
                <c:pt idx="15">
                  <c:v>3.7204000000000002</c:v>
                </c:pt>
                <c:pt idx="16">
                  <c:v>1.8974039999999999</c:v>
                </c:pt>
                <c:pt idx="17">
                  <c:v>-2.2747999999999999</c:v>
                </c:pt>
              </c:numCache>
            </c:numRef>
          </c:val>
          <c:extLst>
            <c:ext xmlns:c16="http://schemas.microsoft.com/office/drawing/2014/chart" uri="{C3380CC4-5D6E-409C-BE32-E72D297353CC}">
              <c16:uniqueId val="{00000000-EA10-499D-9A8C-FE138B0C4BE4}"/>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Sheet1!$E$28:$E$65</c:f>
              <c:numCache>
                <c:formatCode>0.0</c:formatCode>
                <c:ptCount val="18"/>
                <c:pt idx="0">
                  <c:v>0.19976000000000002</c:v>
                </c:pt>
                <c:pt idx="1">
                  <c:v>0.18160000000000001</c:v>
                </c:pt>
                <c:pt idx="2">
                  <c:v>0.21338000000000001</c:v>
                </c:pt>
                <c:pt idx="3">
                  <c:v>0.20702399999999999</c:v>
                </c:pt>
                <c:pt idx="4">
                  <c:v>0.45172999999999996</c:v>
                </c:pt>
                <c:pt idx="5">
                  <c:v>0.46287</c:v>
                </c:pt>
                <c:pt idx="6">
                  <c:v>0.44492000000000004</c:v>
                </c:pt>
                <c:pt idx="7">
                  <c:v>0.43368000000000001</c:v>
                </c:pt>
                <c:pt idx="8">
                  <c:v>0.41001639999999995</c:v>
                </c:pt>
                <c:pt idx="9">
                  <c:v>0.39218960000000003</c:v>
                </c:pt>
                <c:pt idx="10">
                  <c:v>0.41447310000000004</c:v>
                </c:pt>
                <c:pt idx="11">
                  <c:v>0.41001639999999995</c:v>
                </c:pt>
                <c:pt idx="12">
                  <c:v>0.32533909999999999</c:v>
                </c:pt>
                <c:pt idx="13">
                  <c:v>0.36099269999999994</c:v>
                </c:pt>
                <c:pt idx="14">
                  <c:v>0.39664629999999995</c:v>
                </c:pt>
                <c:pt idx="15">
                  <c:v>0.39664629999999995</c:v>
                </c:pt>
                <c:pt idx="16">
                  <c:v>0.36990610000000002</c:v>
                </c:pt>
                <c:pt idx="17">
                  <c:v>0.39043999999999995</c:v>
                </c:pt>
              </c:numCache>
            </c:numRef>
          </c:val>
          <c:extLst>
            <c:ext xmlns:c16="http://schemas.microsoft.com/office/drawing/2014/chart" uri="{C3380CC4-5D6E-409C-BE32-E72D297353CC}">
              <c16:uniqueId val="{00000001-EA10-499D-9A8C-FE138B0C4BE4}"/>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Sheet1!$F$28:$F$65</c:f>
              <c:numCache>
                <c:formatCode>0.0</c:formatCode>
                <c:ptCount val="18"/>
                <c:pt idx="0">
                  <c:v>0.20015999999999998</c:v>
                </c:pt>
                <c:pt idx="1">
                  <c:v>0.42255999999999994</c:v>
                </c:pt>
                <c:pt idx="2">
                  <c:v>0.53376000000000001</c:v>
                </c:pt>
                <c:pt idx="3">
                  <c:v>0.31135999999999997</c:v>
                </c:pt>
                <c:pt idx="4">
                  <c:v>0.27799999999999997</c:v>
                </c:pt>
                <c:pt idx="5">
                  <c:v>-4.2020000000000009E-2</c:v>
                </c:pt>
                <c:pt idx="6">
                  <c:v>0.11119999999999999</c:v>
                </c:pt>
                <c:pt idx="7">
                  <c:v>0.71433999999999997</c:v>
                </c:pt>
                <c:pt idx="8">
                  <c:v>1.8656400000000002</c:v>
                </c:pt>
                <c:pt idx="9">
                  <c:v>2.10995</c:v>
                </c:pt>
                <c:pt idx="10">
                  <c:v>2.1987900000000002</c:v>
                </c:pt>
                <c:pt idx="11">
                  <c:v>1.7768000000000002</c:v>
                </c:pt>
                <c:pt idx="12">
                  <c:v>1.0660800000000001</c:v>
                </c:pt>
                <c:pt idx="13">
                  <c:v>1.6657500000000001</c:v>
                </c:pt>
                <c:pt idx="14">
                  <c:v>1.79901</c:v>
                </c:pt>
                <c:pt idx="15">
                  <c:v>1.57691</c:v>
                </c:pt>
                <c:pt idx="16">
                  <c:v>1.02166</c:v>
                </c:pt>
                <c:pt idx="17">
                  <c:v>6.5040000000000001E-2</c:v>
                </c:pt>
              </c:numCache>
            </c:numRef>
          </c:val>
          <c:extLst>
            <c:ext xmlns:c16="http://schemas.microsoft.com/office/drawing/2014/chart" uri="{C3380CC4-5D6E-409C-BE32-E72D297353CC}">
              <c16:uniqueId val="{00000002-EA10-499D-9A8C-FE138B0C4BE4}"/>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Sheet1!$G$28:$G$65</c:f>
              <c:numCache>
                <c:formatCode>0.0</c:formatCode>
                <c:ptCount val="18"/>
                <c:pt idx="0">
                  <c:v>3.1870000000000002E-2</c:v>
                </c:pt>
                <c:pt idx="1">
                  <c:v>3.1870000000000002E-2</c:v>
                </c:pt>
                <c:pt idx="2">
                  <c:v>0.35057000000000005</c:v>
                </c:pt>
                <c:pt idx="3">
                  <c:v>0.33782200000000001</c:v>
                </c:pt>
                <c:pt idx="4">
                  <c:v>0.39837499999999998</c:v>
                </c:pt>
                <c:pt idx="5">
                  <c:v>0.46240999999999999</c:v>
                </c:pt>
                <c:pt idx="6">
                  <c:v>0.44618000000000002</c:v>
                </c:pt>
                <c:pt idx="7">
                  <c:v>0.56912000000000007</c:v>
                </c:pt>
                <c:pt idx="8">
                  <c:v>0.79486000000000023</c:v>
                </c:pt>
                <c:pt idx="9">
                  <c:v>0.75873000000000002</c:v>
                </c:pt>
                <c:pt idx="10">
                  <c:v>0.57808000000000004</c:v>
                </c:pt>
                <c:pt idx="11">
                  <c:v>0.68647000000000002</c:v>
                </c:pt>
                <c:pt idx="12">
                  <c:v>1.1922900000000001</c:v>
                </c:pt>
                <c:pt idx="13">
                  <c:v>1.91489</c:v>
                </c:pt>
                <c:pt idx="14">
                  <c:v>2.6013600000000001</c:v>
                </c:pt>
                <c:pt idx="15">
                  <c:v>2.6013600000000001</c:v>
                </c:pt>
                <c:pt idx="16">
                  <c:v>2.1678000000000002</c:v>
                </c:pt>
                <c:pt idx="17">
                  <c:v>1.2643800000000001</c:v>
                </c:pt>
              </c:numCache>
            </c:numRef>
          </c:val>
          <c:extLst>
            <c:ext xmlns:c16="http://schemas.microsoft.com/office/drawing/2014/chart" uri="{C3380CC4-5D6E-409C-BE32-E72D297353CC}">
              <c16:uniqueId val="{00000003-EA10-499D-9A8C-FE138B0C4BE4}"/>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EA10-499D-9A8C-FE138B0C4BE4}"/>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EA10-499D-9A8C-FE138B0C4BE4}"/>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Sheet1!$A$28:$B$65</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Sheet1!$C$28:$C$65</c:f>
              <c:numCache>
                <c:formatCode>0.0</c:formatCode>
                <c:ptCount val="18"/>
                <c:pt idx="0">
                  <c:v>1.8542299999999998</c:v>
                </c:pt>
                <c:pt idx="1">
                  <c:v>2.5381299999999998</c:v>
                </c:pt>
                <c:pt idx="2">
                  <c:v>0.5188100000000001</c:v>
                </c:pt>
                <c:pt idx="3">
                  <c:v>0.71975100000000003</c:v>
                </c:pt>
                <c:pt idx="4">
                  <c:v>-5.8054400000000055E-2</c:v>
                </c:pt>
                <c:pt idx="5">
                  <c:v>1.6578599999999999</c:v>
                </c:pt>
                <c:pt idx="6">
                  <c:v>1.3506399999999998</c:v>
                </c:pt>
                <c:pt idx="7">
                  <c:v>3.6551020000000003</c:v>
                </c:pt>
                <c:pt idx="8">
                  <c:v>5.8236124000000009</c:v>
                </c:pt>
                <c:pt idx="9">
                  <c:v>6.5348216000000008</c:v>
                </c:pt>
                <c:pt idx="10">
                  <c:v>8.9207590999999997</c:v>
                </c:pt>
                <c:pt idx="11">
                  <c:v>7.6726024000000006</c:v>
                </c:pt>
                <c:pt idx="12">
                  <c:v>7.4</c:v>
                </c:pt>
                <c:pt idx="13">
                  <c:v>10.303516699999999</c:v>
                </c:pt>
                <c:pt idx="14">
                  <c:v>9.8939643000000004</c:v>
                </c:pt>
                <c:pt idx="15">
                  <c:v>8.2953162999999996</c:v>
                </c:pt>
                <c:pt idx="16">
                  <c:v>5.4</c:v>
                </c:pt>
                <c:pt idx="17">
                  <c:v>-0.5</c:v>
                </c:pt>
              </c:numCache>
            </c:numRef>
          </c:val>
          <c:smooth val="0"/>
          <c:extLst>
            <c:ext xmlns:c16="http://schemas.microsoft.com/office/drawing/2014/chart" uri="{C3380CC4-5D6E-409C-BE32-E72D297353CC}">
              <c16:uniqueId val="{00000006-EA10-499D-9A8C-FE138B0C4BE4}"/>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9257600"/>
        <c:crosses val="autoZero"/>
        <c:auto val="1"/>
        <c:lblAlgn val="ctr"/>
        <c:lblOffset val="100"/>
        <c:noMultiLvlLbl val="0"/>
      </c:catAx>
      <c:valAx>
        <c:axId val="339257600"/>
        <c:scaling>
          <c:orientation val="minMax"/>
        </c:scaling>
        <c:delete val="0"/>
        <c:axPos val="l"/>
        <c:majorGridlines>
          <c:spPr>
            <a:ln w="6350">
              <a:solidFill>
                <a:srgbClr val="A5A5A5">
                  <a:lumMod val="40000"/>
                  <a:lumOff val="60000"/>
                </a:srgbClr>
              </a:solidFill>
            </a:ln>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9256064"/>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1"/>
              <a:t>Մ</a:t>
            </a:r>
            <a:r>
              <a:rPr lang="hy-AM" sz="1100" b="1"/>
              <a:t>իջին գնաճը</a:t>
            </a:r>
            <a:r>
              <a:rPr lang="en-US" sz="1100" b="1"/>
              <a:t>,</a:t>
            </a:r>
            <a:r>
              <a:rPr lang="en-US" sz="1100" b="1" baseline="0"/>
              <a:t> %</a:t>
            </a:r>
            <a:endParaRPr lang="en-US" sz="1100" b="1"/>
          </a:p>
        </c:rich>
      </c:tx>
      <c:layout>
        <c:manualLayout>
          <c:xMode val="edge"/>
          <c:yMode val="edge"/>
          <c:x val="0.18648773668304522"/>
          <c:y val="0"/>
        </c:manualLayout>
      </c:layout>
      <c:overlay val="0"/>
      <c:spPr>
        <a:noFill/>
        <a:ln>
          <a:noFill/>
        </a:ln>
        <a:effectLst/>
      </c:spPr>
    </c:title>
    <c:autoTitleDeleted val="0"/>
    <c:plotArea>
      <c:layout>
        <c:manualLayout>
          <c:layoutTarget val="inner"/>
          <c:xMode val="edge"/>
          <c:yMode val="edge"/>
          <c:x val="0.11270836908098351"/>
          <c:y val="0.14797878298685471"/>
          <c:w val="0.86519527873387103"/>
          <c:h val="0.5023235484685753"/>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Sheet1!$D$2:$D$65</c:f>
              <c:numCache>
                <c:formatCode>0.0</c:formatCode>
                <c:ptCount val="18"/>
                <c:pt idx="0">
                  <c:v>0.99239999999999995</c:v>
                </c:pt>
                <c:pt idx="1">
                  <c:v>1.4472499999999999</c:v>
                </c:pt>
                <c:pt idx="2">
                  <c:v>1.0130749999999999</c:v>
                </c:pt>
                <c:pt idx="3">
                  <c:v>0.76497500000000007</c:v>
                </c:pt>
                <c:pt idx="4">
                  <c:v>-1.2156899999999999</c:v>
                </c:pt>
                <c:pt idx="5">
                  <c:v>-0.43004000000000003</c:v>
                </c:pt>
                <c:pt idx="6">
                  <c:v>-0.12404999999999999</c:v>
                </c:pt>
                <c:pt idx="7">
                  <c:v>0.11768999999999999</c:v>
                </c:pt>
                <c:pt idx="8">
                  <c:v>2.6414839999999997</c:v>
                </c:pt>
                <c:pt idx="9">
                  <c:v>2.8647079999999998</c:v>
                </c:pt>
                <c:pt idx="10">
                  <c:v>3.6831960000000006</c:v>
                </c:pt>
                <c:pt idx="11">
                  <c:v>4.1668479999999999</c:v>
                </c:pt>
                <c:pt idx="12">
                  <c:v>4.501684</c:v>
                </c:pt>
                <c:pt idx="13">
                  <c:v>5.0969480000000003</c:v>
                </c:pt>
                <c:pt idx="14">
                  <c:v>5.0597440000000002</c:v>
                </c:pt>
                <c:pt idx="15">
                  <c:v>4.8365200000000002</c:v>
                </c:pt>
                <c:pt idx="16">
                  <c:v>3.0135239999999999</c:v>
                </c:pt>
                <c:pt idx="17">
                  <c:v>1.1994399999999998</c:v>
                </c:pt>
              </c:numCache>
            </c:numRef>
          </c:val>
          <c:extLst>
            <c:ext xmlns:c16="http://schemas.microsoft.com/office/drawing/2014/chart" uri="{C3380CC4-5D6E-409C-BE32-E72D297353CC}">
              <c16:uniqueId val="{00000000-77FE-4998-BD09-72676E43F75E}"/>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Sheet1!$E$2:$E$65</c:f>
              <c:numCache>
                <c:formatCode>0.0</c:formatCode>
                <c:ptCount val="18"/>
                <c:pt idx="0">
                  <c:v>0.18613999999999997</c:v>
                </c:pt>
                <c:pt idx="1">
                  <c:v>0.19068000000000002</c:v>
                </c:pt>
                <c:pt idx="2">
                  <c:v>0.19295000000000001</c:v>
                </c:pt>
                <c:pt idx="3">
                  <c:v>0.19295000000000001</c:v>
                </c:pt>
                <c:pt idx="4">
                  <c:v>0.36093000000000003</c:v>
                </c:pt>
                <c:pt idx="5">
                  <c:v>0.40240499999999996</c:v>
                </c:pt>
                <c:pt idx="6">
                  <c:v>0.41283000000000003</c:v>
                </c:pt>
                <c:pt idx="7">
                  <c:v>0.41283000000000003</c:v>
                </c:pt>
                <c:pt idx="8">
                  <c:v>0.42338649999999994</c:v>
                </c:pt>
                <c:pt idx="9">
                  <c:v>0.40555969999999997</c:v>
                </c:pt>
                <c:pt idx="10">
                  <c:v>0.41001639999999995</c:v>
                </c:pt>
                <c:pt idx="11">
                  <c:v>0.41447310000000004</c:v>
                </c:pt>
                <c:pt idx="12">
                  <c:v>0.35207929999999998</c:v>
                </c:pt>
                <c:pt idx="13">
                  <c:v>0.3476226</c:v>
                </c:pt>
                <c:pt idx="14">
                  <c:v>0.35653599999999996</c:v>
                </c:pt>
                <c:pt idx="15">
                  <c:v>0.36544939999999998</c:v>
                </c:pt>
                <c:pt idx="16">
                  <c:v>0.40555969999999997</c:v>
                </c:pt>
                <c:pt idx="17">
                  <c:v>0.39043999999999995</c:v>
                </c:pt>
              </c:numCache>
            </c:numRef>
          </c:val>
          <c:extLst>
            <c:ext xmlns:c16="http://schemas.microsoft.com/office/drawing/2014/chart" uri="{C3380CC4-5D6E-409C-BE32-E72D297353CC}">
              <c16:uniqueId val="{00000001-77FE-4998-BD09-72676E43F75E}"/>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Sheet1!$F$2:$F$65</c:f>
              <c:numCache>
                <c:formatCode>0.0</c:formatCode>
                <c:ptCount val="18"/>
                <c:pt idx="0">
                  <c:v>0.17791999999999997</c:v>
                </c:pt>
                <c:pt idx="1">
                  <c:v>0.26688000000000001</c:v>
                </c:pt>
                <c:pt idx="2">
                  <c:v>0.34472000000000003</c:v>
                </c:pt>
                <c:pt idx="3">
                  <c:v>0.32247999999999999</c:v>
                </c:pt>
                <c:pt idx="4">
                  <c:v>0.36695999999999995</c:v>
                </c:pt>
                <c:pt idx="5">
                  <c:v>0.19959500000000002</c:v>
                </c:pt>
                <c:pt idx="6">
                  <c:v>0.16808000000000003</c:v>
                </c:pt>
                <c:pt idx="7">
                  <c:v>0.21010000000000001</c:v>
                </c:pt>
                <c:pt idx="8">
                  <c:v>1.5324900000000001</c:v>
                </c:pt>
                <c:pt idx="9">
                  <c:v>1.7545900000000001</c:v>
                </c:pt>
                <c:pt idx="10">
                  <c:v>1.88785</c:v>
                </c:pt>
                <c:pt idx="11">
                  <c:v>1.9322699999999999</c:v>
                </c:pt>
                <c:pt idx="12">
                  <c:v>1.2215499999999999</c:v>
                </c:pt>
                <c:pt idx="13">
                  <c:v>1.3548099999999998</c:v>
                </c:pt>
                <c:pt idx="14">
                  <c:v>1.5102799999999998</c:v>
                </c:pt>
                <c:pt idx="15">
                  <c:v>1.5547</c:v>
                </c:pt>
                <c:pt idx="16">
                  <c:v>1.1993400000000001</c:v>
                </c:pt>
                <c:pt idx="17">
                  <c:v>0.71543999999999996</c:v>
                </c:pt>
              </c:numCache>
            </c:numRef>
          </c:val>
          <c:extLst>
            <c:ext xmlns:c16="http://schemas.microsoft.com/office/drawing/2014/chart" uri="{C3380CC4-5D6E-409C-BE32-E72D297353CC}">
              <c16:uniqueId val="{00000002-77FE-4998-BD09-72676E43F75E}"/>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Sheet1!$G$2:$G$65</c:f>
              <c:numCache>
                <c:formatCode>0.0</c:formatCode>
                <c:ptCount val="18"/>
                <c:pt idx="0">
                  <c:v>0.12748000000000001</c:v>
                </c:pt>
                <c:pt idx="1">
                  <c:v>6.3740000000000005E-2</c:v>
                </c:pt>
                <c:pt idx="2">
                  <c:v>9.5610000000000001E-2</c:v>
                </c:pt>
                <c:pt idx="3">
                  <c:v>0.14660200000000001</c:v>
                </c:pt>
                <c:pt idx="4">
                  <c:v>0.43024500000000004</c:v>
                </c:pt>
                <c:pt idx="5">
                  <c:v>0.39837499999999998</c:v>
                </c:pt>
                <c:pt idx="6">
                  <c:v>0.41431000000000007</c:v>
                </c:pt>
                <c:pt idx="7">
                  <c:v>0.49797999999999992</c:v>
                </c:pt>
                <c:pt idx="8">
                  <c:v>0.61421000000000003</c:v>
                </c:pt>
                <c:pt idx="9">
                  <c:v>0.72260000000000002</c:v>
                </c:pt>
                <c:pt idx="10">
                  <c:v>0.68647000000000002</c:v>
                </c:pt>
                <c:pt idx="11">
                  <c:v>0.68647000000000002</c:v>
                </c:pt>
                <c:pt idx="12">
                  <c:v>0.90325</c:v>
                </c:pt>
                <c:pt idx="13">
                  <c:v>1.2645500000000001</c:v>
                </c:pt>
                <c:pt idx="14">
                  <c:v>1.62585</c:v>
                </c:pt>
                <c:pt idx="15">
                  <c:v>1.8787600000000004</c:v>
                </c:pt>
                <c:pt idx="16">
                  <c:v>2.4929700000000001</c:v>
                </c:pt>
                <c:pt idx="17">
                  <c:v>1.8479400000000001</c:v>
                </c:pt>
              </c:numCache>
            </c:numRef>
          </c:val>
          <c:extLst>
            <c:ext xmlns:c16="http://schemas.microsoft.com/office/drawing/2014/chart" uri="{C3380CC4-5D6E-409C-BE32-E72D297353CC}">
              <c16:uniqueId val="{00000003-77FE-4998-BD09-72676E43F75E}"/>
            </c:ext>
          </c:extLst>
        </c:ser>
        <c:dLbls>
          <c:showLegendKey val="0"/>
          <c:showVal val="0"/>
          <c:showCatName val="0"/>
          <c:showSerName val="0"/>
          <c:showPercent val="0"/>
          <c:showBubbleSize val="0"/>
        </c:dLbls>
        <c:gapWidth val="100"/>
        <c:overlap val="100"/>
        <c:axId val="339650048"/>
        <c:axId val="339651584"/>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77FE-4998-BD09-72676E43F75E}"/>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Sheet1!$A$28:$B$65</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Sheet1!$C$2:$C$65</c:f>
              <c:numCache>
                <c:formatCode>0.0</c:formatCode>
                <c:ptCount val="18"/>
                <c:pt idx="0">
                  <c:v>1.4839399999999998</c:v>
                </c:pt>
                <c:pt idx="1">
                  <c:v>1.9685499999999998</c:v>
                </c:pt>
                <c:pt idx="2">
                  <c:v>1.646355</c:v>
                </c:pt>
                <c:pt idx="3">
                  <c:v>1.4270070000000001</c:v>
                </c:pt>
                <c:pt idx="4">
                  <c:v>-5.7554999999999967E-2</c:v>
                </c:pt>
                <c:pt idx="5">
                  <c:v>0.57033499999999993</c:v>
                </c:pt>
                <c:pt idx="6">
                  <c:v>0.87117000000000011</c:v>
                </c:pt>
                <c:pt idx="7">
                  <c:v>1.2385999999999999</c:v>
                </c:pt>
                <c:pt idx="8">
                  <c:v>5.2115704999999997</c:v>
                </c:pt>
                <c:pt idx="9">
                  <c:v>5.7474577</c:v>
                </c:pt>
                <c:pt idx="10">
                  <c:v>6.6675324000000007</c:v>
                </c:pt>
                <c:pt idx="11">
                  <c:v>7.2000611000000001</c:v>
                </c:pt>
                <c:pt idx="12">
                  <c:v>6.9785632999999994</c:v>
                </c:pt>
                <c:pt idx="13">
                  <c:v>8.0639306000000008</c:v>
                </c:pt>
                <c:pt idx="14">
                  <c:v>8.5524100000000001</c:v>
                </c:pt>
                <c:pt idx="15">
                  <c:v>8.6354293999999996</c:v>
                </c:pt>
                <c:pt idx="16">
                  <c:v>7.2</c:v>
                </c:pt>
                <c:pt idx="17">
                  <c:v>4.2</c:v>
                </c:pt>
              </c:numCache>
            </c:numRef>
          </c:val>
          <c:smooth val="0"/>
          <c:extLst>
            <c:ext xmlns:c16="http://schemas.microsoft.com/office/drawing/2014/chart" uri="{C3380CC4-5D6E-409C-BE32-E72D297353CC}">
              <c16:uniqueId val="{00000005-77FE-4998-BD09-72676E43F75E}"/>
            </c:ext>
          </c:extLst>
        </c:ser>
        <c:dLbls>
          <c:showLegendKey val="0"/>
          <c:showVal val="0"/>
          <c:showCatName val="0"/>
          <c:showSerName val="0"/>
          <c:showPercent val="0"/>
          <c:showBubbleSize val="0"/>
        </c:dLbls>
        <c:marker val="1"/>
        <c:smooth val="0"/>
        <c:axId val="339650048"/>
        <c:axId val="339651584"/>
      </c:lineChart>
      <c:catAx>
        <c:axId val="339650048"/>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9651584"/>
        <c:crosses val="autoZero"/>
        <c:auto val="1"/>
        <c:lblAlgn val="ctr"/>
        <c:lblOffset val="100"/>
        <c:noMultiLvlLbl val="0"/>
      </c:catAx>
      <c:valAx>
        <c:axId val="339651584"/>
        <c:scaling>
          <c:orientation val="minMax"/>
          <c:max val="10"/>
        </c:scaling>
        <c:delete val="0"/>
        <c:axPos val="l"/>
        <c:majorGridlines>
          <c:spPr>
            <a:ln w="3175">
              <a:solidFill>
                <a:srgbClr val="A5A5A5">
                  <a:lumMod val="40000"/>
                  <a:lumOff val="60000"/>
                </a:srgbClr>
              </a:solidFill>
            </a:ln>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9650048"/>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0.1312423813132145"/>
          <c:w val="0.84290099330803991"/>
          <c:h val="0.21350437445319334"/>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Sheet1!$D$28:$D$64</c:f>
              <c:numCache>
                <c:formatCode>General</c:formatCode>
                <c:ptCount val="17"/>
              </c:numCache>
            </c:numRef>
          </c:val>
          <c:extLst>
            <c:ext xmlns:c16="http://schemas.microsoft.com/office/drawing/2014/chart" uri="{C3380CC4-5D6E-409C-BE32-E72D297353CC}">
              <c16:uniqueId val="{00000000-35C2-4B15-A1BC-8E7D4FF54457}"/>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Sheet1!$E$28:$E$64</c:f>
              <c:numCache>
                <c:formatCode>General</c:formatCode>
                <c:ptCount val="17"/>
              </c:numCache>
            </c:numRef>
          </c:val>
          <c:extLst>
            <c:ext xmlns:c16="http://schemas.microsoft.com/office/drawing/2014/chart" uri="{C3380CC4-5D6E-409C-BE32-E72D297353CC}">
              <c16:uniqueId val="{00000001-35C2-4B15-A1BC-8E7D4FF54457}"/>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Sheet1!$F$28:$F$64</c:f>
              <c:numCache>
                <c:formatCode>General</c:formatCode>
                <c:ptCount val="17"/>
              </c:numCache>
            </c:numRef>
          </c:val>
          <c:extLst>
            <c:ext xmlns:c16="http://schemas.microsoft.com/office/drawing/2014/chart" uri="{C3380CC4-5D6E-409C-BE32-E72D297353CC}">
              <c16:uniqueId val="{00000002-35C2-4B15-A1BC-8E7D4FF54457}"/>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Sheet1!$G$28:$G$64</c:f>
              <c:numCache>
                <c:formatCode>General</c:formatCode>
                <c:ptCount val="17"/>
              </c:numCache>
            </c:numRef>
          </c:val>
          <c:extLst>
            <c:ext xmlns:c16="http://schemas.microsoft.com/office/drawing/2014/chart" uri="{C3380CC4-5D6E-409C-BE32-E72D297353CC}">
              <c16:uniqueId val="{00000003-35C2-4B15-A1BC-8E7D4FF54457}"/>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35C2-4B15-A1BC-8E7D4FF54457}"/>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35C2-4B15-A1BC-8E7D4FF54457}"/>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Sheet1!$A$28:$B$64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Sheet1!$C$28:$C$64</c:f>
              <c:numCache>
                <c:formatCode>General</c:formatCode>
                <c:ptCount val="17"/>
              </c:numCache>
            </c:numRef>
          </c:val>
          <c:smooth val="0"/>
          <c:extLst>
            <c:ext xmlns:c16="http://schemas.microsoft.com/office/drawing/2014/chart" uri="{C3380CC4-5D6E-409C-BE32-E72D297353CC}">
              <c16:uniqueId val="{00000006-35C2-4B15-A1BC-8E7D4FF54457}"/>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1"/>
        <c:axPos val="b"/>
        <c:numFmt formatCode="General" sourceLinked="1"/>
        <c:majorTickMark val="out"/>
        <c:minorTickMark val="none"/>
        <c:tickLblPos val="low"/>
        <c:crossAx val="339257600"/>
        <c:crosses val="autoZero"/>
        <c:auto val="1"/>
        <c:lblAlgn val="ctr"/>
        <c:lblOffset val="100"/>
        <c:noMultiLvlLbl val="0"/>
      </c:catAx>
      <c:valAx>
        <c:axId val="339257600"/>
        <c:scaling>
          <c:orientation val="minMax"/>
        </c:scaling>
        <c:delete val="1"/>
        <c:axPos val="l"/>
        <c:numFmt formatCode="General" sourceLinked="1"/>
        <c:majorTickMark val="none"/>
        <c:minorTickMark val="none"/>
        <c:tickLblPos val="nextTo"/>
        <c:crossAx val="339256064"/>
        <c:crosses val="autoZero"/>
        <c:crossBetween val="between"/>
      </c:valAx>
      <c:spPr>
        <a:pattFill prst="ltDnDiag">
          <a:fgClr>
            <a:srgbClr val="000000">
              <a:alpha val="0"/>
            </a:srgbClr>
          </a:fgClr>
          <a:bgClr>
            <a:srgbClr val="FFFFFF"/>
          </a:bgClr>
        </a:pattFill>
        <a:ln w="25400">
          <a:noFill/>
        </a:ln>
        <a:effectLst/>
      </c:spPr>
    </c:plotArea>
    <c:legend>
      <c:legendPos val="r"/>
      <c:layout>
        <c:manualLayout>
          <c:xMode val="edge"/>
          <c:yMode val="edge"/>
          <c:x val="3.1936127744510975E-2"/>
          <c:y val="3.7699115044247791E-2"/>
          <c:w val="0.9640718562874252"/>
          <c:h val="0.96201147422943811"/>
        </c:manualLayout>
      </c:layout>
      <c:overlay val="0"/>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833111477111205E-2"/>
          <c:y val="5.2009456264775412E-2"/>
          <c:w val="0.92015447209499956"/>
          <c:h val="0.54687224933385226"/>
        </c:manualLayout>
      </c:layout>
      <c:areaChart>
        <c:grouping val="standard"/>
        <c:varyColors val="0"/>
        <c:ser>
          <c:idx val="6"/>
          <c:order val="6"/>
          <c:tx>
            <c:strRef>
              <c:f>Sheet1!$I$1</c:f>
              <c:strCache>
                <c:ptCount val="1"/>
                <c:pt idx="0">
                  <c:v>Column1</c:v>
                </c:pt>
              </c:strCache>
            </c:strRef>
          </c:tx>
          <c:cat>
            <c:numRef>
              <c:f>Sheet1!$B$2:$B$67</c:f>
              <c:numCache>
                <c:formatCode>General</c:formatCode>
                <c:ptCount val="5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numCache>
            </c:numRef>
          </c:cat>
          <c:val>
            <c:numRef>
              <c:f>Sheet1!$I$2:$I$67</c:f>
              <c:numCache>
                <c:formatCode>General</c:formatCode>
                <c:ptCount val="54"/>
              </c:numCache>
            </c:numRef>
          </c:val>
          <c:extLst>
            <c:ext xmlns:c16="http://schemas.microsoft.com/office/drawing/2014/chart" uri="{C3380CC4-5D6E-409C-BE32-E72D297353CC}">
              <c16:uniqueId val="{00000000-EF30-46B2-A420-8211C7786BAE}"/>
            </c:ext>
          </c:extLst>
        </c:ser>
        <c:dLbls>
          <c:showLegendKey val="0"/>
          <c:showVal val="0"/>
          <c:showCatName val="0"/>
          <c:showSerName val="0"/>
          <c:showPercent val="0"/>
          <c:showBubbleSize val="0"/>
        </c:dLbls>
        <c:axId val="340183680"/>
        <c:axId val="340275584"/>
      </c:areaChart>
      <c:lineChart>
        <c:grouping val="standard"/>
        <c:varyColors val="0"/>
        <c:ser>
          <c:idx val="0"/>
          <c:order val="0"/>
          <c:tx>
            <c:strRef>
              <c:f>Sheet1!$C$1</c:f>
              <c:strCache>
                <c:ptCount val="1"/>
                <c:pt idx="0">
                  <c:v>ԿԲ ռեպո</c:v>
                </c:pt>
              </c:strCache>
            </c:strRef>
          </c:tx>
          <c:spPr>
            <a:ln w="31750" cap="rnd">
              <a:solidFill>
                <a:sysClr val="windowText" lastClr="000000">
                  <a:lumMod val="75000"/>
                  <a:lumOff val="25000"/>
                </a:sys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Sheet1!$C$2:$C$67</c:f>
              <c:numCache>
                <c:formatCode>0.0</c:formatCode>
                <c:ptCount val="54"/>
                <c:pt idx="0">
                  <c:v>5.75</c:v>
                </c:pt>
                <c:pt idx="1">
                  <c:v>5.75</c:v>
                </c:pt>
                <c:pt idx="2" formatCode="0.00">
                  <c:v>5.75</c:v>
                </c:pt>
                <c:pt idx="3" formatCode="0.00">
                  <c:v>5.75</c:v>
                </c:pt>
                <c:pt idx="4" formatCode="0.00">
                  <c:v>5.75</c:v>
                </c:pt>
                <c:pt idx="5" formatCode="0.00">
                  <c:v>5.75</c:v>
                </c:pt>
                <c:pt idx="6" formatCode="0.00">
                  <c:v>5.75</c:v>
                </c:pt>
                <c:pt idx="7" formatCode="0.00">
                  <c:v>5.75</c:v>
                </c:pt>
                <c:pt idx="8" formatCode="0.00">
                  <c:v>5.5</c:v>
                </c:pt>
                <c:pt idx="9" formatCode="0.00">
                  <c:v>5.5</c:v>
                </c:pt>
                <c:pt idx="10" formatCode="0.00">
                  <c:v>5.5</c:v>
                </c:pt>
                <c:pt idx="11" formatCode="0.00">
                  <c:v>5.5</c:v>
                </c:pt>
                <c:pt idx="12" formatCode="0.00">
                  <c:v>5.5</c:v>
                </c:pt>
                <c:pt idx="13" formatCode="0.00">
                  <c:v>5.5</c:v>
                </c:pt>
                <c:pt idx="14" formatCode="0.00">
                  <c:v>5.25</c:v>
                </c:pt>
                <c:pt idx="15" formatCode="0.00">
                  <c:v>5</c:v>
                </c:pt>
                <c:pt idx="16" formatCode="0.00">
                  <c:v>5</c:v>
                </c:pt>
                <c:pt idx="17" formatCode="0.00">
                  <c:v>4.5</c:v>
                </c:pt>
                <c:pt idx="18" formatCode="0.00">
                  <c:v>4.5</c:v>
                </c:pt>
                <c:pt idx="19" formatCode="0.00">
                  <c:v>4.5</c:v>
                </c:pt>
                <c:pt idx="20" formatCode="0.00">
                  <c:v>4.25</c:v>
                </c:pt>
                <c:pt idx="21" formatCode="0.00">
                  <c:v>4.25</c:v>
                </c:pt>
                <c:pt idx="22" formatCode="0.00">
                  <c:v>4.25</c:v>
                </c:pt>
                <c:pt idx="23" formatCode="0.00">
                  <c:v>5.25</c:v>
                </c:pt>
                <c:pt idx="24" formatCode="0.00">
                  <c:v>5.25</c:v>
                </c:pt>
                <c:pt idx="25" formatCode="0.00">
                  <c:v>5.5</c:v>
                </c:pt>
                <c:pt idx="26" formatCode="0.00">
                  <c:v>5.5</c:v>
                </c:pt>
                <c:pt idx="27" formatCode="0.00">
                  <c:v>5.5</c:v>
                </c:pt>
                <c:pt idx="28" formatCode="0.00">
                  <c:v>6</c:v>
                </c:pt>
                <c:pt idx="29" formatCode="0.00">
                  <c:v>6.5</c:v>
                </c:pt>
                <c:pt idx="30" formatCode="0.00">
                  <c:v>6.5</c:v>
                </c:pt>
                <c:pt idx="31" formatCode="0.00">
                  <c:v>7</c:v>
                </c:pt>
                <c:pt idx="32" formatCode="0.00">
                  <c:v>7.25</c:v>
                </c:pt>
                <c:pt idx="33" formatCode="0.00">
                  <c:v>7.25</c:v>
                </c:pt>
                <c:pt idx="34" formatCode="0.00">
                  <c:v>7.25</c:v>
                </c:pt>
                <c:pt idx="35" formatCode="0.00">
                  <c:v>7.75</c:v>
                </c:pt>
                <c:pt idx="36" formatCode="0.00">
                  <c:v>7.75</c:v>
                </c:pt>
                <c:pt idx="37" formatCode="0.00">
                  <c:v>8</c:v>
                </c:pt>
                <c:pt idx="38" formatCode="0.00">
                  <c:v>9.25</c:v>
                </c:pt>
                <c:pt idx="39" formatCode="0.00">
                  <c:v>9.25</c:v>
                </c:pt>
                <c:pt idx="40" formatCode="0.00">
                  <c:v>9.25</c:v>
                </c:pt>
                <c:pt idx="41" formatCode="0.00">
                  <c:v>9.25</c:v>
                </c:pt>
                <c:pt idx="42" formatCode="0.00">
                  <c:v>9.25</c:v>
                </c:pt>
                <c:pt idx="43" formatCode="0.00">
                  <c:v>9.5</c:v>
                </c:pt>
                <c:pt idx="44" formatCode="0.00">
                  <c:v>10</c:v>
                </c:pt>
                <c:pt idx="45" formatCode="0.00">
                  <c:v>10</c:v>
                </c:pt>
                <c:pt idx="46" formatCode="0.00">
                  <c:v>10.5</c:v>
                </c:pt>
                <c:pt idx="47" formatCode="0.00">
                  <c:v>10.75</c:v>
                </c:pt>
                <c:pt idx="48" formatCode="0.00">
                  <c:v>10.75</c:v>
                </c:pt>
                <c:pt idx="49" formatCode="0.00">
                  <c:v>10.75</c:v>
                </c:pt>
                <c:pt idx="50" formatCode="0.00">
                  <c:v>10.75</c:v>
                </c:pt>
                <c:pt idx="51" formatCode="0.00">
                  <c:v>10.75</c:v>
                </c:pt>
                <c:pt idx="52" formatCode="0.00">
                  <c:v>10.785</c:v>
                </c:pt>
                <c:pt idx="53" formatCode="0.00">
                  <c:v>10.5</c:v>
                </c:pt>
              </c:numCache>
            </c:numRef>
          </c:val>
          <c:smooth val="0"/>
          <c:extLst>
            <c:ext xmlns:c16="http://schemas.microsoft.com/office/drawing/2014/chart" uri="{C3380CC4-5D6E-409C-BE32-E72D297353CC}">
              <c16:uniqueId val="{00000001-EF30-46B2-A420-8211C7786BAE}"/>
            </c:ext>
          </c:extLst>
        </c:ser>
        <c:ser>
          <c:idx val="1"/>
          <c:order val="1"/>
          <c:tx>
            <c:strRef>
              <c:f>Sheet1!$D$1</c:f>
              <c:strCache>
                <c:ptCount val="1"/>
                <c:pt idx="0">
                  <c:v>Միջբանկային ռեպո</c:v>
                </c:pt>
              </c:strCache>
            </c:strRef>
          </c:tx>
          <c:spPr>
            <a:ln w="19050" cap="rnd">
              <a:solidFill>
                <a:schemeClr val="accent2"/>
              </a:solidFill>
              <a:prstDash val="solid"/>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Sheet1!$D$2:$D$67</c:f>
            </c:numRef>
          </c:val>
          <c:smooth val="0"/>
          <c:extLst>
            <c:ext xmlns:c16="http://schemas.microsoft.com/office/drawing/2014/chart" uri="{C3380CC4-5D6E-409C-BE32-E72D297353CC}">
              <c16:uniqueId val="{00000002-EF30-46B2-A420-8211C7786BAE}"/>
            </c:ext>
          </c:extLst>
        </c:ser>
        <c:ser>
          <c:idx val="2"/>
          <c:order val="2"/>
          <c:tx>
            <c:strRef>
              <c:f>Sheet1!$E$1</c:f>
              <c:strCache>
                <c:ptCount val="1"/>
                <c:pt idx="0">
                  <c:v>Պետական պարտատոմսեր, 1տ․</c:v>
                </c:pt>
              </c:strCache>
            </c:strRef>
          </c:tx>
          <c:spPr>
            <a:ln w="19050" cap="rnd">
              <a:solidFill>
                <a:srgbClr val="9BBB59">
                  <a:lumMod val="60000"/>
                  <a:lumOff val="40000"/>
                </a:srgb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Sheet1!$E$2:$E$67</c:f>
              <c:numCache>
                <c:formatCode>0.0</c:formatCode>
                <c:ptCount val="54"/>
                <c:pt idx="0">
                  <c:v>6.6734</c:v>
                </c:pt>
                <c:pt idx="1">
                  <c:v>6.5744999999999996</c:v>
                </c:pt>
                <c:pt idx="2">
                  <c:v>6.5629</c:v>
                </c:pt>
                <c:pt idx="3">
                  <c:v>6.4889000000000001</c:v>
                </c:pt>
                <c:pt idx="4">
                  <c:v>6.5033000000000003</c:v>
                </c:pt>
                <c:pt idx="5">
                  <c:v>6.2850999999999999</c:v>
                </c:pt>
                <c:pt idx="6">
                  <c:v>6.2453000000000003</c:v>
                </c:pt>
                <c:pt idx="7">
                  <c:v>6.2606000000000002</c:v>
                </c:pt>
                <c:pt idx="8">
                  <c:v>6.2698999999999998</c:v>
                </c:pt>
                <c:pt idx="9">
                  <c:v>6.1853999999999996</c:v>
                </c:pt>
                <c:pt idx="10">
                  <c:v>6.0248999999999997</c:v>
                </c:pt>
                <c:pt idx="11">
                  <c:v>6.0016999999999996</c:v>
                </c:pt>
                <c:pt idx="12">
                  <c:v>5.9264000000000001</c:v>
                </c:pt>
                <c:pt idx="13">
                  <c:v>5.8771000000000004</c:v>
                </c:pt>
                <c:pt idx="14">
                  <c:v>5.7816999999999998</c:v>
                </c:pt>
                <c:pt idx="15">
                  <c:v>5.7742000000000004</c:v>
                </c:pt>
                <c:pt idx="16">
                  <c:v>5.8630000000000004</c:v>
                </c:pt>
                <c:pt idx="17">
                  <c:v>5.5404999999999998</c:v>
                </c:pt>
                <c:pt idx="18">
                  <c:v>5.5384000000000002</c:v>
                </c:pt>
                <c:pt idx="19">
                  <c:v>5.6143000000000001</c:v>
                </c:pt>
                <c:pt idx="20">
                  <c:v>5.5647000000000002</c:v>
                </c:pt>
                <c:pt idx="21">
                  <c:v>5.7388000000000003</c:v>
                </c:pt>
                <c:pt idx="22">
                  <c:v>6.0198</c:v>
                </c:pt>
                <c:pt idx="23">
                  <c:v>6.4890999999999996</c:v>
                </c:pt>
                <c:pt idx="24">
                  <c:v>6.8925232558139538</c:v>
                </c:pt>
                <c:pt idx="25">
                  <c:v>6.8010142857142855</c:v>
                </c:pt>
                <c:pt idx="26">
                  <c:v>6.8712428571428568</c:v>
                </c:pt>
                <c:pt idx="27">
                  <c:v>6.8708857142857145</c:v>
                </c:pt>
                <c:pt idx="28">
                  <c:v>7.0861142857142854</c:v>
                </c:pt>
                <c:pt idx="29">
                  <c:v>7.3503850130953534</c:v>
                </c:pt>
                <c:pt idx="30">
                  <c:v>7.8607287499999998</c:v>
                </c:pt>
                <c:pt idx="31">
                  <c:v>8.2888199999999994</c:v>
                </c:pt>
                <c:pt idx="32">
                  <c:v>8.4334571428571437</c:v>
                </c:pt>
                <c:pt idx="33">
                  <c:v>8.7411909865697641</c:v>
                </c:pt>
                <c:pt idx="34">
                  <c:v>8.9</c:v>
                </c:pt>
                <c:pt idx="35">
                  <c:v>9.0296000000000003</c:v>
                </c:pt>
                <c:pt idx="36">
                  <c:v>9.057884210526316</c:v>
                </c:pt>
                <c:pt idx="37">
                  <c:v>8.99939</c:v>
                </c:pt>
                <c:pt idx="38">
                  <c:v>9.6898681818181824</c:v>
                </c:pt>
                <c:pt idx="39">
                  <c:v>10.165071428571427</c:v>
                </c:pt>
                <c:pt idx="40">
                  <c:v>10.262547619047622</c:v>
                </c:pt>
                <c:pt idx="41">
                  <c:v>10.307509090909091</c:v>
                </c:pt>
                <c:pt idx="42">
                  <c:v>10.428950000000002</c:v>
                </c:pt>
                <c:pt idx="43">
                  <c:v>10.479456521739131</c:v>
                </c:pt>
                <c:pt idx="44">
                  <c:v>10.583795238095238</c:v>
                </c:pt>
                <c:pt idx="45">
                  <c:v>11.060600000000001</c:v>
                </c:pt>
                <c:pt idx="46">
                  <c:v>11.411</c:v>
                </c:pt>
                <c:pt idx="47">
                  <c:v>11.7258</c:v>
                </c:pt>
                <c:pt idx="48">
                  <c:v>11.622784999999997</c:v>
                </c:pt>
                <c:pt idx="49">
                  <c:v>11.471364999999997</c:v>
                </c:pt>
                <c:pt idx="50">
                  <c:v>11.59599090909091</c:v>
                </c:pt>
                <c:pt idx="51">
                  <c:v>11.638299999999999</c:v>
                </c:pt>
                <c:pt idx="52">
                  <c:v>11.352</c:v>
                </c:pt>
                <c:pt idx="53">
                  <c:v>11.119063636363636</c:v>
                </c:pt>
              </c:numCache>
            </c:numRef>
          </c:val>
          <c:smooth val="0"/>
          <c:extLst>
            <c:ext xmlns:c16="http://schemas.microsoft.com/office/drawing/2014/chart" uri="{C3380CC4-5D6E-409C-BE32-E72D297353CC}">
              <c16:uniqueId val="{00000003-EF30-46B2-A420-8211C7786BAE}"/>
            </c:ext>
          </c:extLst>
        </c:ser>
        <c:ser>
          <c:idx val="3"/>
          <c:order val="3"/>
          <c:tx>
            <c:strRef>
              <c:f>Sheet1!$F$1</c:f>
              <c:strCache>
                <c:ptCount val="1"/>
                <c:pt idx="0">
                  <c:v>Պետական պարտատոմսեր, 10տ․</c:v>
                </c:pt>
              </c:strCache>
            </c:strRef>
          </c:tx>
          <c:spPr>
            <a:ln w="19050" cap="rnd">
              <a:solidFill>
                <a:srgbClr val="8064A2">
                  <a:lumMod val="60000"/>
                  <a:lumOff val="40000"/>
                </a:srgb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Sheet1!$F$2:$F$67</c:f>
              <c:numCache>
                <c:formatCode>0.0</c:formatCode>
                <c:ptCount val="54"/>
                <c:pt idx="0">
                  <c:v>10.103199999999999</c:v>
                </c:pt>
                <c:pt idx="1">
                  <c:v>9.8832000000000004</c:v>
                </c:pt>
                <c:pt idx="2">
                  <c:v>9.8978999999999999</c:v>
                </c:pt>
                <c:pt idx="3">
                  <c:v>9.8486999999999991</c:v>
                </c:pt>
                <c:pt idx="4">
                  <c:v>9.8429000000000002</c:v>
                </c:pt>
                <c:pt idx="5">
                  <c:v>9.6851000000000003</c:v>
                </c:pt>
                <c:pt idx="6">
                  <c:v>9.7317999999999998</c:v>
                </c:pt>
                <c:pt idx="7">
                  <c:v>9.6309000000000005</c:v>
                </c:pt>
                <c:pt idx="8">
                  <c:v>9.4785000000000004</c:v>
                </c:pt>
                <c:pt idx="9">
                  <c:v>9.2851999999999997</c:v>
                </c:pt>
                <c:pt idx="10">
                  <c:v>8.9306999999999999</c:v>
                </c:pt>
                <c:pt idx="11">
                  <c:v>8.4870000000000001</c:v>
                </c:pt>
                <c:pt idx="12">
                  <c:v>8.3613999999999997</c:v>
                </c:pt>
                <c:pt idx="13">
                  <c:v>8.0782000000000007</c:v>
                </c:pt>
                <c:pt idx="14">
                  <c:v>7.7184999999999997</c:v>
                </c:pt>
                <c:pt idx="15">
                  <c:v>8.2558000000000007</c:v>
                </c:pt>
                <c:pt idx="16">
                  <c:v>8.0143000000000004</c:v>
                </c:pt>
                <c:pt idx="17">
                  <c:v>7.7636000000000003</c:v>
                </c:pt>
                <c:pt idx="18">
                  <c:v>7.7877999999999998</c:v>
                </c:pt>
                <c:pt idx="19">
                  <c:v>7.7232000000000003</c:v>
                </c:pt>
                <c:pt idx="20">
                  <c:v>7.6761999999999997</c:v>
                </c:pt>
                <c:pt idx="21">
                  <c:v>8.1753</c:v>
                </c:pt>
                <c:pt idx="22">
                  <c:v>8.1991999999999994</c:v>
                </c:pt>
                <c:pt idx="23">
                  <c:v>8.8371999999999993</c:v>
                </c:pt>
                <c:pt idx="24">
                  <c:v>9.1305357142857151</c:v>
                </c:pt>
                <c:pt idx="25">
                  <c:v>8.7364000000000015</c:v>
                </c:pt>
                <c:pt idx="26">
                  <c:v>8.8150272727272725</c:v>
                </c:pt>
                <c:pt idx="27">
                  <c:v>8.9161227272727253</c:v>
                </c:pt>
                <c:pt idx="28">
                  <c:v>9.0098500000000001</c:v>
                </c:pt>
                <c:pt idx="29">
                  <c:v>9.0018772727272722</c:v>
                </c:pt>
                <c:pt idx="30">
                  <c:v>9.2964285714285708</c:v>
                </c:pt>
                <c:pt idx="31">
                  <c:v>9.612345454545455</c:v>
                </c:pt>
                <c:pt idx="32">
                  <c:v>10.014661904761903</c:v>
                </c:pt>
                <c:pt idx="33">
                  <c:v>10.005904761904763</c:v>
                </c:pt>
                <c:pt idx="34">
                  <c:v>10.029559090909091</c:v>
                </c:pt>
                <c:pt idx="35">
                  <c:v>10.023227272727274</c:v>
                </c:pt>
                <c:pt idx="36">
                  <c:v>10.097063157894738</c:v>
                </c:pt>
                <c:pt idx="37">
                  <c:v>10.036735000000002</c:v>
                </c:pt>
                <c:pt idx="38">
                  <c:v>10.728454545454547</c:v>
                </c:pt>
                <c:pt idx="39">
                  <c:v>11.249590476190477</c:v>
                </c:pt>
                <c:pt idx="40">
                  <c:v>11.120128571428571</c:v>
                </c:pt>
                <c:pt idx="41">
                  <c:v>11.198654545454545</c:v>
                </c:pt>
                <c:pt idx="42">
                  <c:v>11.361525</c:v>
                </c:pt>
                <c:pt idx="43">
                  <c:v>11.365604347826087</c:v>
                </c:pt>
                <c:pt idx="44">
                  <c:v>11.536523809523809</c:v>
                </c:pt>
                <c:pt idx="45">
                  <c:v>11.867000000000001</c:v>
                </c:pt>
                <c:pt idx="46">
                  <c:v>12.027100000000001</c:v>
                </c:pt>
                <c:pt idx="47">
                  <c:v>11.9946</c:v>
                </c:pt>
                <c:pt idx="48">
                  <c:v>11.776389999999999</c:v>
                </c:pt>
                <c:pt idx="49">
                  <c:v>11.618069999999999</c:v>
                </c:pt>
                <c:pt idx="50">
                  <c:v>11.707554545454544</c:v>
                </c:pt>
                <c:pt idx="51">
                  <c:v>11.611273684210525</c:v>
                </c:pt>
                <c:pt idx="52">
                  <c:v>11.313780952380954</c:v>
                </c:pt>
                <c:pt idx="53">
                  <c:v>10.890645454545453</c:v>
                </c:pt>
              </c:numCache>
            </c:numRef>
          </c:val>
          <c:smooth val="0"/>
          <c:extLst>
            <c:ext xmlns:c16="http://schemas.microsoft.com/office/drawing/2014/chart" uri="{C3380CC4-5D6E-409C-BE32-E72D297353CC}">
              <c16:uniqueId val="{00000004-EF30-46B2-A420-8211C7786BAE}"/>
            </c:ext>
          </c:extLst>
        </c:ser>
        <c:ser>
          <c:idx val="4"/>
          <c:order val="4"/>
          <c:tx>
            <c:strRef>
              <c:f>Sheet1!$G$1</c:f>
              <c:strCache>
                <c:ptCount val="1"/>
                <c:pt idx="0">
                  <c:v>Վարկեր, մինչև 1 տ․</c:v>
                </c:pt>
              </c:strCache>
            </c:strRef>
          </c:tx>
          <c:spPr>
            <a:ln w="25400" cap="rnd">
              <a:solidFill>
                <a:srgbClr val="4BACC6">
                  <a:lumMod val="60000"/>
                  <a:lumOff val="40000"/>
                </a:srgb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Sheet1!$G$2:$G$67</c:f>
              <c:numCache>
                <c:formatCode>0.0</c:formatCode>
                <c:ptCount val="54"/>
                <c:pt idx="0">
                  <c:v>12.94</c:v>
                </c:pt>
                <c:pt idx="1">
                  <c:v>12.699761892497829</c:v>
                </c:pt>
                <c:pt idx="2">
                  <c:v>12.566448328509471</c:v>
                </c:pt>
                <c:pt idx="3">
                  <c:v>12.261596451425321</c:v>
                </c:pt>
                <c:pt idx="4">
                  <c:v>11.606553616838642</c:v>
                </c:pt>
                <c:pt idx="5">
                  <c:v>12.144401734432861</c:v>
                </c:pt>
                <c:pt idx="6">
                  <c:v>12.289400689821909</c:v>
                </c:pt>
                <c:pt idx="7">
                  <c:v>12.170577359082083</c:v>
                </c:pt>
                <c:pt idx="8">
                  <c:v>12.011844768610082</c:v>
                </c:pt>
                <c:pt idx="9">
                  <c:v>12.008508115495156</c:v>
                </c:pt>
                <c:pt idx="10">
                  <c:v>11.542722412147366</c:v>
                </c:pt>
                <c:pt idx="11">
                  <c:v>11.466281685037378</c:v>
                </c:pt>
                <c:pt idx="12">
                  <c:v>11.546058726974197</c:v>
                </c:pt>
                <c:pt idx="13">
                  <c:v>11.923129058421264</c:v>
                </c:pt>
                <c:pt idx="14">
                  <c:v>12.086361052439955</c:v>
                </c:pt>
                <c:pt idx="15">
                  <c:v>11.48654832067378</c:v>
                </c:pt>
                <c:pt idx="16">
                  <c:v>11.693071478615122</c:v>
                </c:pt>
                <c:pt idx="17">
                  <c:v>11.840666400286993</c:v>
                </c:pt>
                <c:pt idx="18">
                  <c:v>11.594003016007466</c:v>
                </c:pt>
                <c:pt idx="19">
                  <c:v>11.390509460797004</c:v>
                </c:pt>
                <c:pt idx="20">
                  <c:v>11.739999180461965</c:v>
                </c:pt>
                <c:pt idx="21">
                  <c:v>11.478526971393057</c:v>
                </c:pt>
                <c:pt idx="22">
                  <c:v>11.190687271017511</c:v>
                </c:pt>
                <c:pt idx="23">
                  <c:v>11.46854913302637</c:v>
                </c:pt>
                <c:pt idx="24">
                  <c:v>11.549209942466879</c:v>
                </c:pt>
                <c:pt idx="25">
                  <c:v>12.265284498474417</c:v>
                </c:pt>
                <c:pt idx="26">
                  <c:v>11.961990666081375</c:v>
                </c:pt>
                <c:pt idx="27">
                  <c:v>11.697603968729714</c:v>
                </c:pt>
                <c:pt idx="28">
                  <c:v>11.46349671816964</c:v>
                </c:pt>
                <c:pt idx="29">
                  <c:v>10.411636000567436</c:v>
                </c:pt>
                <c:pt idx="30">
                  <c:v>11.825994181857787</c:v>
                </c:pt>
                <c:pt idx="31">
                  <c:v>11.937044148439007</c:v>
                </c:pt>
                <c:pt idx="32">
                  <c:v>12.208102534160609</c:v>
                </c:pt>
                <c:pt idx="33">
                  <c:v>11.779293223642544</c:v>
                </c:pt>
                <c:pt idx="34">
                  <c:v>11.765812609481552</c:v>
                </c:pt>
                <c:pt idx="35">
                  <c:v>12.277436640171302</c:v>
                </c:pt>
                <c:pt idx="36">
                  <c:v>12.136173486114288</c:v>
                </c:pt>
                <c:pt idx="37">
                  <c:v>12.219833307639213</c:v>
                </c:pt>
                <c:pt idx="38">
                  <c:v>12.491087907189435</c:v>
                </c:pt>
                <c:pt idx="39">
                  <c:v>11.489323502789608</c:v>
                </c:pt>
                <c:pt idx="40">
                  <c:v>11.536903872779591</c:v>
                </c:pt>
                <c:pt idx="41">
                  <c:v>11.274733470496635</c:v>
                </c:pt>
                <c:pt idx="42">
                  <c:v>11.699386745104745</c:v>
                </c:pt>
                <c:pt idx="43">
                  <c:v>11.535369601703893</c:v>
                </c:pt>
                <c:pt idx="44">
                  <c:v>11.773619839763745</c:v>
                </c:pt>
                <c:pt idx="45">
                  <c:v>11.725462493526342</c:v>
                </c:pt>
                <c:pt idx="46">
                  <c:v>11.090510930662978</c:v>
                </c:pt>
                <c:pt idx="47">
                  <c:v>12.026777148567596</c:v>
                </c:pt>
                <c:pt idx="48">
                  <c:v>11.758733642189338</c:v>
                </c:pt>
                <c:pt idx="49">
                  <c:v>11.81813621014304</c:v>
                </c:pt>
                <c:pt idx="50">
                  <c:v>12.280686192171711</c:v>
                </c:pt>
                <c:pt idx="51">
                  <c:v>13.128028635271743</c:v>
                </c:pt>
                <c:pt idx="52">
                  <c:v>12.600028383172315</c:v>
                </c:pt>
                <c:pt idx="53">
                  <c:v>12.139632381709292</c:v>
                </c:pt>
              </c:numCache>
            </c:numRef>
          </c:val>
          <c:smooth val="0"/>
          <c:extLst>
            <c:ext xmlns:c16="http://schemas.microsoft.com/office/drawing/2014/chart" uri="{C3380CC4-5D6E-409C-BE32-E72D297353CC}">
              <c16:uniqueId val="{00000005-EF30-46B2-A420-8211C7786BAE}"/>
            </c:ext>
          </c:extLst>
        </c:ser>
        <c:ser>
          <c:idx val="5"/>
          <c:order val="5"/>
          <c:tx>
            <c:strRef>
              <c:f>Sheet1!$H$1</c:f>
              <c:strCache>
                <c:ptCount val="1"/>
                <c:pt idx="0">
                  <c:v>Ավանդներ, մինչև 1տ․</c:v>
                </c:pt>
              </c:strCache>
            </c:strRef>
          </c:tx>
          <c:spPr>
            <a:ln w="25400" cap="rnd">
              <a:solidFill>
                <a:srgbClr val="F79646">
                  <a:lumMod val="60000"/>
                  <a:lumOff val="40000"/>
                </a:srgbClr>
              </a:solidFill>
              <a:prstDash val="solid"/>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Sheet1!$H$2:$H$67</c:f>
              <c:numCache>
                <c:formatCode>0.0</c:formatCode>
                <c:ptCount val="54"/>
                <c:pt idx="0">
                  <c:v>8.9499999999999993</c:v>
                </c:pt>
                <c:pt idx="1">
                  <c:v>8.6489387276234737</c:v>
                </c:pt>
                <c:pt idx="2">
                  <c:v>8.9925664741048639</c:v>
                </c:pt>
                <c:pt idx="3">
                  <c:v>8.8543270973523871</c:v>
                </c:pt>
                <c:pt idx="4">
                  <c:v>8.8595052924214475</c:v>
                </c:pt>
                <c:pt idx="5">
                  <c:v>8.2520508136414197</c:v>
                </c:pt>
                <c:pt idx="6">
                  <c:v>8.2177222935183174</c:v>
                </c:pt>
                <c:pt idx="7">
                  <c:v>8.3039214284961176</c:v>
                </c:pt>
                <c:pt idx="8">
                  <c:v>7.3665894160339667</c:v>
                </c:pt>
                <c:pt idx="9">
                  <c:v>8.5118321772154335</c:v>
                </c:pt>
                <c:pt idx="10">
                  <c:v>8.4161501656944413</c:v>
                </c:pt>
                <c:pt idx="11">
                  <c:v>8.4654773659965628</c:v>
                </c:pt>
                <c:pt idx="12">
                  <c:v>9.100093590291749</c:v>
                </c:pt>
                <c:pt idx="13">
                  <c:v>8.6483765376842303</c:v>
                </c:pt>
                <c:pt idx="14">
                  <c:v>7.2291523038045318</c:v>
                </c:pt>
                <c:pt idx="15">
                  <c:v>8.0751786691005769</c:v>
                </c:pt>
                <c:pt idx="16">
                  <c:v>8.3114329139332437</c:v>
                </c:pt>
                <c:pt idx="17">
                  <c:v>7.9211712515744601</c:v>
                </c:pt>
                <c:pt idx="18">
                  <c:v>8.1427574380816061</c:v>
                </c:pt>
                <c:pt idx="19">
                  <c:v>8.2210477870032328</c:v>
                </c:pt>
                <c:pt idx="20">
                  <c:v>8.4142766303570919</c:v>
                </c:pt>
                <c:pt idx="21">
                  <c:v>7.9414026073857746</c:v>
                </c:pt>
                <c:pt idx="22">
                  <c:v>8.0049673310543401</c:v>
                </c:pt>
                <c:pt idx="23">
                  <c:v>7.4048415965003471</c:v>
                </c:pt>
                <c:pt idx="24">
                  <c:v>8.3431898134069336</c:v>
                </c:pt>
                <c:pt idx="25">
                  <c:v>8.1845675016329267</c:v>
                </c:pt>
                <c:pt idx="26">
                  <c:v>7.7422870380906073</c:v>
                </c:pt>
                <c:pt idx="27">
                  <c:v>8.258143495890641</c:v>
                </c:pt>
                <c:pt idx="28">
                  <c:v>8.336376778540556</c:v>
                </c:pt>
                <c:pt idx="29">
                  <c:v>8.0158616246163845</c:v>
                </c:pt>
                <c:pt idx="30">
                  <c:v>8.3801246219086263</c:v>
                </c:pt>
                <c:pt idx="31">
                  <c:v>8.4231469612643615</c:v>
                </c:pt>
                <c:pt idx="32">
                  <c:v>8.2773469777009598</c:v>
                </c:pt>
                <c:pt idx="33">
                  <c:v>8.4296232065051928</c:v>
                </c:pt>
                <c:pt idx="34">
                  <c:v>8.2398175292211864</c:v>
                </c:pt>
                <c:pt idx="35">
                  <c:v>8.2678332122473623</c:v>
                </c:pt>
                <c:pt idx="36">
                  <c:v>8.3938267500377108</c:v>
                </c:pt>
                <c:pt idx="37">
                  <c:v>8.5417269393471607</c:v>
                </c:pt>
                <c:pt idx="38">
                  <c:v>9.2964040296125265</c:v>
                </c:pt>
                <c:pt idx="39">
                  <c:v>9.210710627688707</c:v>
                </c:pt>
                <c:pt idx="40">
                  <c:v>8.4604892202941926</c:v>
                </c:pt>
                <c:pt idx="41">
                  <c:v>8.1287571727719037</c:v>
                </c:pt>
                <c:pt idx="42">
                  <c:v>8.0137945266574295</c:v>
                </c:pt>
                <c:pt idx="43">
                  <c:v>8.1901082208958194</c:v>
                </c:pt>
                <c:pt idx="44">
                  <c:v>7.6374793222786144</c:v>
                </c:pt>
                <c:pt idx="45">
                  <c:v>8.342940111802875</c:v>
                </c:pt>
                <c:pt idx="46">
                  <c:v>8.5430354373300954</c:v>
                </c:pt>
                <c:pt idx="47">
                  <c:v>8.6201560403887179</c:v>
                </c:pt>
                <c:pt idx="48">
                  <c:v>8.4331002640766979</c:v>
                </c:pt>
                <c:pt idx="49">
                  <c:v>8.2394822623711086</c:v>
                </c:pt>
                <c:pt idx="50">
                  <c:v>8.1887607485517133</c:v>
                </c:pt>
                <c:pt idx="51">
                  <c:v>8.4900096103328373</c:v>
                </c:pt>
                <c:pt idx="52">
                  <c:v>8.2829882240962576</c:v>
                </c:pt>
                <c:pt idx="53">
                  <c:v>8.3546599768074685</c:v>
                </c:pt>
              </c:numCache>
            </c:numRef>
          </c:val>
          <c:smooth val="0"/>
          <c:extLst>
            <c:ext xmlns:c16="http://schemas.microsoft.com/office/drawing/2014/chart" uri="{C3380CC4-5D6E-409C-BE32-E72D297353CC}">
              <c16:uniqueId val="{00000006-EF30-46B2-A420-8211C7786BAE}"/>
            </c:ext>
          </c:extLst>
        </c:ser>
        <c:dLbls>
          <c:showLegendKey val="0"/>
          <c:showVal val="0"/>
          <c:showCatName val="0"/>
          <c:showSerName val="0"/>
          <c:showPercent val="0"/>
          <c:showBubbleSize val="0"/>
        </c:dLbls>
        <c:marker val="1"/>
        <c:smooth val="0"/>
        <c:axId val="340183680"/>
        <c:axId val="340275584"/>
      </c:lineChart>
      <c:catAx>
        <c:axId val="340183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nchor="ctr" anchorCtr="0"/>
          <a:lstStyle/>
          <a:p>
            <a:pPr>
              <a:defRPr sz="900">
                <a:ln>
                  <a:noFill/>
                </a:ln>
                <a:solidFill>
                  <a:schemeClr val="tx1">
                    <a:lumMod val="75000"/>
                    <a:lumOff val="25000"/>
                  </a:schemeClr>
                </a:solidFill>
              </a:defRPr>
            </a:pPr>
            <a:endParaRPr lang="en-US"/>
          </a:p>
        </c:txPr>
        <c:crossAx val="340275584"/>
        <c:crosses val="autoZero"/>
        <c:auto val="1"/>
        <c:lblAlgn val="ctr"/>
        <c:lblOffset val="100"/>
        <c:noMultiLvlLbl val="0"/>
      </c:catAx>
      <c:valAx>
        <c:axId val="340275584"/>
        <c:scaling>
          <c:orientation val="minMax"/>
          <c:max val="14"/>
          <c:min val="4"/>
        </c:scaling>
        <c:delete val="0"/>
        <c:axPos val="l"/>
        <c:majorGridlines>
          <c:spPr>
            <a:ln>
              <a:solidFill>
                <a:sysClr val="window" lastClr="FFFFFF">
                  <a:lumMod val="85000"/>
                </a:sysClr>
              </a:solidFill>
            </a:ln>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340183680"/>
        <c:crosses val="autoZero"/>
        <c:crossBetween val="between"/>
      </c:valAx>
      <c:spPr>
        <a:solidFill>
          <a:schemeClr val="bg1"/>
        </a:solidFill>
        <a:ln>
          <a:noFill/>
        </a:ln>
        <a:effectLst/>
      </c:spPr>
    </c:plotArea>
    <c:legend>
      <c:legendPos val="b"/>
      <c:legendEntry>
        <c:idx val="0"/>
        <c:delete val="1"/>
      </c:legendEntry>
      <c:layout>
        <c:manualLayout>
          <c:xMode val="edge"/>
          <c:yMode val="edge"/>
          <c:x val="2.3400191021967526E-2"/>
          <c:y val="0.78173268265421192"/>
          <c:w val="0.97502344733383361"/>
          <c:h val="0.21826731734578805"/>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rgbClr val="1F497D">
                <a:lumMod val="75000"/>
              </a:srgbClr>
            </a:solidFill>
            <a:ln>
              <a:noFill/>
            </a:ln>
            <a:effectLst/>
          </c:spPr>
          <c:invertIfNegative val="0"/>
          <c:dLbls>
            <c:delete val="1"/>
          </c:dLbls>
          <c:cat>
            <c:strRef>
              <c:f>Sheet1!$B$1:$H$1</c:f>
              <c:strCache>
                <c:ptCount val="5"/>
                <c:pt idx="0">
                  <c:v>2019</c:v>
                </c:pt>
                <c:pt idx="1">
                  <c:v>2020</c:v>
                </c:pt>
                <c:pt idx="2">
                  <c:v>2021</c:v>
                </c:pt>
                <c:pt idx="3">
                  <c:v>2022</c:v>
                </c:pt>
                <c:pt idx="4">
                  <c:v>2023</c:v>
                </c:pt>
              </c:strCache>
            </c:strRef>
          </c:cat>
          <c:val>
            <c:numRef>
              <c:f>Sheet1!$B$2:$H$2</c:f>
              <c:numCache>
                <c:formatCode>0</c:formatCode>
                <c:ptCount val="5"/>
                <c:pt idx="0">
                  <c:v>1185.7264734799999</c:v>
                </c:pt>
                <c:pt idx="1">
                  <c:v>1118.4431101695</c:v>
                </c:pt>
                <c:pt idx="2">
                  <c:v>1380.0889666840997</c:v>
                </c:pt>
                <c:pt idx="3">
                  <c:v>1890.6431294029999</c:v>
                </c:pt>
                <c:pt idx="4">
                  <c:v>3266.6442874269997</c:v>
                </c:pt>
              </c:numCache>
            </c:numRef>
          </c:val>
          <c:extLst>
            <c:ext xmlns:c16="http://schemas.microsoft.com/office/drawing/2014/chart" uri="{C3380CC4-5D6E-409C-BE32-E72D297353CC}">
              <c16:uniqueId val="{00000000-D537-4B14-BAD1-777269072399}"/>
            </c:ext>
          </c:extLst>
        </c:ser>
        <c:ser>
          <c:idx val="0"/>
          <c:order val="1"/>
          <c:tx>
            <c:strRef>
              <c:f>Sheet1!$A$3</c:f>
              <c:strCache>
                <c:ptCount val="1"/>
                <c:pt idx="0">
                  <c:v>Ներմուծում (CIF)</c:v>
                </c:pt>
              </c:strCache>
            </c:strRef>
          </c:tx>
          <c:spPr>
            <a:solidFill>
              <a:srgbClr val="4F81BD">
                <a:lumMod val="60000"/>
                <a:lumOff val="40000"/>
              </a:srgbClr>
            </a:solidFill>
            <a:ln>
              <a:noFill/>
            </a:ln>
            <a:effectLst/>
          </c:spPr>
          <c:invertIfNegative val="0"/>
          <c:dLbls>
            <c:delete val="1"/>
          </c:dLbls>
          <c:cat>
            <c:strRef>
              <c:f>Sheet1!$B$1:$H$1</c:f>
              <c:strCache>
                <c:ptCount val="5"/>
                <c:pt idx="0">
                  <c:v>2019</c:v>
                </c:pt>
                <c:pt idx="1">
                  <c:v>2020</c:v>
                </c:pt>
                <c:pt idx="2">
                  <c:v>2021</c:v>
                </c:pt>
                <c:pt idx="3">
                  <c:v>2022</c:v>
                </c:pt>
                <c:pt idx="4">
                  <c:v>2023</c:v>
                </c:pt>
              </c:strCache>
            </c:strRef>
          </c:cat>
          <c:val>
            <c:numRef>
              <c:f>Sheet1!$B$3:$H$3</c:f>
              <c:numCache>
                <c:formatCode>General</c:formatCode>
                <c:ptCount val="5"/>
                <c:pt idx="0">
                  <c:v>-2323.817378878</c:v>
                </c:pt>
                <c:pt idx="1">
                  <c:v>-2010.02549357</c:v>
                </c:pt>
                <c:pt idx="2">
                  <c:v>-2199.0397102500001</c:v>
                </c:pt>
                <c:pt idx="3">
                  <c:v>-3256.7851204500002</c:v>
                </c:pt>
                <c:pt idx="4">
                  <c:v>-5633.08715493</c:v>
                </c:pt>
              </c:numCache>
            </c:numRef>
          </c:val>
          <c:extLst>
            <c:ext xmlns:c16="http://schemas.microsoft.com/office/drawing/2014/chart" uri="{C3380CC4-5D6E-409C-BE32-E72D297353CC}">
              <c16:uniqueId val="{00000001-D537-4B14-BAD1-777269072399}"/>
            </c:ext>
          </c:extLst>
        </c:ser>
        <c:dLbls>
          <c:dLblPos val="inEnd"/>
          <c:showLegendKey val="0"/>
          <c:showVal val="1"/>
          <c:showCatName val="0"/>
          <c:showSerName val="0"/>
          <c:showPercent val="0"/>
          <c:showBubbleSize val="0"/>
        </c:dLbls>
        <c:gapWidth val="150"/>
        <c:overlap val="100"/>
        <c:axId val="115593984"/>
        <c:axId val="115595520"/>
      </c:barChart>
      <c:lineChart>
        <c:grouping val="standard"/>
        <c:varyColors val="0"/>
        <c:ser>
          <c:idx val="2"/>
          <c:order val="2"/>
          <c:tx>
            <c:strRef>
              <c:f>Sheet1!$A$4</c:f>
              <c:strCache>
                <c:ptCount val="1"/>
                <c:pt idx="0">
                  <c:v>Առևտրային հաշվեկշիռ</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dLbls>
            <c:dLbl>
              <c:idx val="0"/>
              <c:layout>
                <c:manualLayout>
                  <c:x val="-3.7553682982609631E-2"/>
                  <c:y val="4.60063897763577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537-4B14-BAD1-777269072399}"/>
                </c:ext>
              </c:extLst>
            </c:dLbl>
            <c:dLbl>
              <c:idx val="1"/>
              <c:layout>
                <c:manualLayout>
                  <c:x val="-3.8440545808966858E-2"/>
                  <c:y val="4.60063897763578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537-4B14-BAD1-777269072399}"/>
                </c:ext>
              </c:extLst>
            </c:dLbl>
            <c:dLbl>
              <c:idx val="2"/>
              <c:layout>
                <c:manualLayout>
                  <c:x val="-3.5906432748538011E-2"/>
                  <c:y val="4.60063897763577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537-4B14-BAD1-777269072399}"/>
                </c:ext>
              </c:extLst>
            </c:dLbl>
            <c:dLbl>
              <c:idx val="3"/>
              <c:layout>
                <c:manualLayout>
                  <c:x val="-3.5906432748538157E-2"/>
                  <c:y val="5.66560170394035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537-4B14-BAD1-77726907239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5"/>
                <c:pt idx="0">
                  <c:v>2019</c:v>
                </c:pt>
                <c:pt idx="1">
                  <c:v>2020</c:v>
                </c:pt>
                <c:pt idx="2">
                  <c:v>2021</c:v>
                </c:pt>
                <c:pt idx="3">
                  <c:v>2022</c:v>
                </c:pt>
                <c:pt idx="4">
                  <c:v>2023</c:v>
                </c:pt>
              </c:strCache>
            </c:strRef>
          </c:cat>
          <c:val>
            <c:numRef>
              <c:f>Sheet1!$B$4:$H$4</c:f>
              <c:numCache>
                <c:formatCode>0</c:formatCode>
                <c:ptCount val="5"/>
                <c:pt idx="0">
                  <c:v>-1138.0909053980001</c:v>
                </c:pt>
                <c:pt idx="1">
                  <c:v>-891.58238340050002</c:v>
                </c:pt>
                <c:pt idx="2">
                  <c:v>-818.95074356590044</c:v>
                </c:pt>
                <c:pt idx="3">
                  <c:v>-1366.1419910470004</c:v>
                </c:pt>
                <c:pt idx="4">
                  <c:v>-2366.4428675030003</c:v>
                </c:pt>
              </c:numCache>
            </c:numRef>
          </c:val>
          <c:smooth val="0"/>
          <c:extLst>
            <c:ext xmlns:c16="http://schemas.microsoft.com/office/drawing/2014/chart" uri="{C3380CC4-5D6E-409C-BE32-E72D297353CC}">
              <c16:uniqueId val="{00000006-D537-4B14-BAD1-777269072399}"/>
            </c:ext>
          </c:extLst>
        </c:ser>
        <c:dLbls>
          <c:showLegendKey val="0"/>
          <c:showVal val="1"/>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majorUnit val="1000"/>
      </c:valAx>
      <c:spPr>
        <a:noFill/>
        <a:ln>
          <a:noFill/>
        </a:ln>
        <a:effectLst/>
      </c:spPr>
    </c:plotArea>
    <c:legend>
      <c:legendPos val="b"/>
      <c:layout>
        <c:manualLayout>
          <c:xMode val="edge"/>
          <c:yMode val="edge"/>
          <c:x val="4.0380603727139343E-2"/>
          <c:y val="0.82385633909459532"/>
          <c:w val="0.93927855711422847"/>
          <c:h val="0.13985699625466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663554906899765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3"/>
              <c:layout>
                <c:manualLayout>
                  <c:x val="-7.6507227641320952E-2"/>
                  <c:y val="3.20575963861090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2BB-4BBE-997A-B8DE724F04B2}"/>
                </c:ext>
              </c:extLst>
            </c:dLbl>
            <c:dLbl>
              <c:idx val="4"/>
              <c:layout>
                <c:manualLayout>
                  <c:x val="-8.8767126632915791E-2"/>
                  <c:y val="5.48236749290799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2BB-4BBE-997A-B8DE724F04B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Sheet1!$B$2:$S$2</c:f>
              <c:numCache>
                <c:formatCode>0.0</c:formatCode>
                <c:ptCount val="6"/>
                <c:pt idx="0">
                  <c:v>80.232313159802885</c:v>
                </c:pt>
                <c:pt idx="1">
                  <c:v>115.08845711162056</c:v>
                </c:pt>
                <c:pt idx="2">
                  <c:v>170.20219175234723</c:v>
                </c:pt>
                <c:pt idx="3">
                  <c:v>81.971942817782946</c:v>
                </c:pt>
                <c:pt idx="4">
                  <c:v>65.036396012032412</c:v>
                </c:pt>
                <c:pt idx="5">
                  <c:v>2.5254416023327622</c:v>
                </c:pt>
              </c:numCache>
            </c:numRef>
          </c:val>
          <c:smooth val="0"/>
          <c:extLst>
            <c:ext xmlns:c16="http://schemas.microsoft.com/office/drawing/2014/chart" uri="{C3380CC4-5D6E-409C-BE32-E72D297353CC}">
              <c16:uniqueId val="{00000002-42BB-4BBE-997A-B8DE724F04B2}"/>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6.2163362551187241E-2"/>
                  <c:y val="4.91321552933373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2BB-4BBE-997A-B8DE724F04B2}"/>
                </c:ext>
              </c:extLst>
            </c:dLbl>
            <c:dLbl>
              <c:idx val="2"/>
              <c:layout>
                <c:manualLayout>
                  <c:x val="-7.014940635812654E-2"/>
                  <c:y val="4.91321552933373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2BB-4BBE-997A-B8DE724F04B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Sheet1!$B$3:$S$3</c:f>
              <c:numCache>
                <c:formatCode>0.0</c:formatCode>
                <c:ptCount val="6"/>
                <c:pt idx="0">
                  <c:v>80.232313159802828</c:v>
                </c:pt>
                <c:pt idx="1">
                  <c:v>97.989951416395542</c:v>
                </c:pt>
                <c:pt idx="2">
                  <c:v>120.39542496412773</c:v>
                </c:pt>
                <c:pt idx="3">
                  <c:v>109.36197446524747</c:v>
                </c:pt>
                <c:pt idx="4">
                  <c:v>97.99190704573499</c:v>
                </c:pt>
                <c:pt idx="5">
                  <c:v>72.779331694052502</c:v>
                </c:pt>
              </c:numCache>
            </c:numRef>
          </c:val>
          <c:smooth val="0"/>
          <c:extLst>
            <c:ext xmlns:c16="http://schemas.microsoft.com/office/drawing/2014/chart" uri="{C3380CC4-5D6E-409C-BE32-E72D297353CC}">
              <c16:uniqueId val="{00000005-42BB-4BBE-997A-B8DE724F04B2}"/>
            </c:ext>
          </c:extLst>
        </c:ser>
        <c:dLbls>
          <c:dLblPos val="t"/>
          <c:showLegendKey val="0"/>
          <c:showVal val="1"/>
          <c:showCatName val="0"/>
          <c:showSerName val="0"/>
          <c:showPercent val="0"/>
          <c:showBubbleSize val="0"/>
        </c:dLbls>
        <c:marker val="1"/>
        <c:smooth val="0"/>
        <c:axId val="119784960"/>
        <c:axId val="119786496"/>
      </c:lineChart>
      <c:catAx>
        <c:axId val="119784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6496"/>
        <c:crosses val="autoZero"/>
        <c:auto val="1"/>
        <c:lblAlgn val="ctr"/>
        <c:lblOffset val="100"/>
        <c:noMultiLvlLbl val="0"/>
      </c:catAx>
      <c:valAx>
        <c:axId val="11978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49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2180139063655933"/>
          <c:w val="0.97802150537634414"/>
          <c:h val="0.15998802023150455"/>
        </c:manualLayout>
      </c:layout>
      <c:overlay val="0"/>
      <c:spPr>
        <a:noFill/>
        <a:ln>
          <a:noFill/>
        </a:ln>
        <a:effectLst/>
      </c:spPr>
      <c:txPr>
        <a:bodyPr rot="0" spcFirstLastPara="1" vertOverflow="ellipsis" vert="horz" wrap="square" anchor="ctr" anchorCtr="1"/>
        <a:lstStyle/>
        <a:p>
          <a:pPr>
            <a:defRPr sz="8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Գնաճը գործընկեր երկրներում</a:t>
            </a:r>
            <a:endParaRPr lang="en-US" sz="1000"/>
          </a:p>
        </c:rich>
      </c:tx>
      <c:layout>
        <c:manualLayout>
          <c:xMode val="edge"/>
          <c:yMode val="edge"/>
          <c:x val="0.21730170549715694"/>
          <c:y val="3.1644062113381204E-3"/>
        </c:manualLayout>
      </c:layout>
      <c:overlay val="0"/>
      <c:spPr>
        <a:noFill/>
        <a:ln w="25400">
          <a:noFill/>
        </a:ln>
      </c:spPr>
    </c:title>
    <c:autoTitleDeleted val="0"/>
    <c:plotArea>
      <c:layout>
        <c:manualLayout>
          <c:layoutTarget val="inner"/>
          <c:xMode val="edge"/>
          <c:yMode val="edge"/>
          <c:x val="0.10738889071920403"/>
          <c:y val="0.12980099502487563"/>
          <c:w val="0.85425685544537056"/>
          <c:h val="0.56600305558820074"/>
        </c:manualLayout>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Sheet1!$C$2:$C$67</c:f>
              <c:numCache>
                <c:formatCode>0.0</c:formatCode>
                <c:ptCount val="54"/>
                <c:pt idx="0">
                  <c:v>1.55</c:v>
                </c:pt>
                <c:pt idx="1">
                  <c:v>1.52</c:v>
                </c:pt>
                <c:pt idx="2">
                  <c:v>1.86</c:v>
                </c:pt>
                <c:pt idx="3">
                  <c:v>2</c:v>
                </c:pt>
                <c:pt idx="4">
                  <c:v>1.79</c:v>
                </c:pt>
                <c:pt idx="5">
                  <c:v>1.65</c:v>
                </c:pt>
                <c:pt idx="6">
                  <c:v>1.81</c:v>
                </c:pt>
                <c:pt idx="7">
                  <c:v>1.75</c:v>
                </c:pt>
                <c:pt idx="8">
                  <c:v>1.71</c:v>
                </c:pt>
                <c:pt idx="9">
                  <c:v>1.76</c:v>
                </c:pt>
                <c:pt idx="10">
                  <c:v>2.0499999999999998</c:v>
                </c:pt>
                <c:pt idx="11">
                  <c:v>2.29</c:v>
                </c:pt>
                <c:pt idx="12">
                  <c:v>2.4900000000000002</c:v>
                </c:pt>
                <c:pt idx="13">
                  <c:v>2.33</c:v>
                </c:pt>
                <c:pt idx="14">
                  <c:v>1.54</c:v>
                </c:pt>
                <c:pt idx="15">
                  <c:v>0.33</c:v>
                </c:pt>
                <c:pt idx="16">
                  <c:v>0.1</c:v>
                </c:pt>
                <c:pt idx="17">
                  <c:v>0.6</c:v>
                </c:pt>
                <c:pt idx="18">
                  <c:v>0.6</c:v>
                </c:pt>
                <c:pt idx="19">
                  <c:v>1.3</c:v>
                </c:pt>
                <c:pt idx="20">
                  <c:v>1.4</c:v>
                </c:pt>
                <c:pt idx="21">
                  <c:v>1.2</c:v>
                </c:pt>
                <c:pt idx="22">
                  <c:v>1.2</c:v>
                </c:pt>
                <c:pt idx="23">
                  <c:v>1.4</c:v>
                </c:pt>
                <c:pt idx="24">
                  <c:v>1.4</c:v>
                </c:pt>
                <c:pt idx="25">
                  <c:v>1.7</c:v>
                </c:pt>
                <c:pt idx="26">
                  <c:v>2.6</c:v>
                </c:pt>
                <c:pt idx="27">
                  <c:v>4.2</c:v>
                </c:pt>
                <c:pt idx="28">
                  <c:v>5</c:v>
                </c:pt>
                <c:pt idx="29">
                  <c:v>5.4</c:v>
                </c:pt>
                <c:pt idx="30">
                  <c:v>5.4</c:v>
                </c:pt>
                <c:pt idx="31">
                  <c:v>5.3</c:v>
                </c:pt>
                <c:pt idx="32">
                  <c:v>5.4</c:v>
                </c:pt>
                <c:pt idx="33">
                  <c:v>6.2</c:v>
                </c:pt>
                <c:pt idx="34">
                  <c:v>6.8</c:v>
                </c:pt>
                <c:pt idx="35">
                  <c:v>7</c:v>
                </c:pt>
                <c:pt idx="36">
                  <c:v>7.5</c:v>
                </c:pt>
                <c:pt idx="37">
                  <c:v>7.9</c:v>
                </c:pt>
                <c:pt idx="38">
                  <c:v>8.5</c:v>
                </c:pt>
                <c:pt idx="39">
                  <c:v>8.3000000000000007</c:v>
                </c:pt>
                <c:pt idx="40">
                  <c:v>8.6</c:v>
                </c:pt>
                <c:pt idx="41">
                  <c:v>9.1</c:v>
                </c:pt>
                <c:pt idx="42">
                  <c:v>8.5</c:v>
                </c:pt>
                <c:pt idx="43">
                  <c:v>8.3000000000000007</c:v>
                </c:pt>
                <c:pt idx="44">
                  <c:v>8.1999999999999993</c:v>
                </c:pt>
                <c:pt idx="45">
                  <c:v>7.7</c:v>
                </c:pt>
                <c:pt idx="46">
                  <c:v>7.1</c:v>
                </c:pt>
                <c:pt idx="47">
                  <c:v>6.5</c:v>
                </c:pt>
                <c:pt idx="48">
                  <c:v>6.4</c:v>
                </c:pt>
                <c:pt idx="49">
                  <c:v>6</c:v>
                </c:pt>
                <c:pt idx="50">
                  <c:v>5</c:v>
                </c:pt>
                <c:pt idx="51">
                  <c:v>4.9000000000000004</c:v>
                </c:pt>
                <c:pt idx="52">
                  <c:v>4.05</c:v>
                </c:pt>
                <c:pt idx="53">
                  <c:v>2.97</c:v>
                </c:pt>
              </c:numCache>
            </c:numRef>
          </c:val>
          <c:smooth val="0"/>
          <c:extLst>
            <c:ext xmlns:c16="http://schemas.microsoft.com/office/drawing/2014/chart" uri="{C3380CC4-5D6E-409C-BE32-E72D297353CC}">
              <c16:uniqueId val="{00000000-74A5-4C5E-B324-635933563E3F}"/>
            </c:ext>
          </c:extLst>
        </c:ser>
        <c:ser>
          <c:idx val="1"/>
          <c:order val="1"/>
          <c:tx>
            <c:strRef>
              <c:f>Sheet1!$D$1</c:f>
              <c:strCache>
                <c:ptCount val="1"/>
                <c:pt idx="0">
                  <c:v>ԵԳ</c:v>
                </c:pt>
              </c:strCache>
            </c:strRef>
          </c:tx>
          <c:spPr>
            <a:ln w="28575" cap="rnd">
              <a:solidFill>
                <a:schemeClr val="accent1"/>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Sheet1!$D$2:$D$67</c:f>
              <c:numCache>
                <c:formatCode>General</c:formatCode>
                <c:ptCount val="54"/>
                <c:pt idx="0">
                  <c:v>1.4</c:v>
                </c:pt>
                <c:pt idx="1">
                  <c:v>1.5</c:v>
                </c:pt>
                <c:pt idx="2">
                  <c:v>1.4</c:v>
                </c:pt>
                <c:pt idx="3">
                  <c:v>1.7</c:v>
                </c:pt>
                <c:pt idx="4">
                  <c:v>1.2</c:v>
                </c:pt>
                <c:pt idx="5">
                  <c:v>1.3</c:v>
                </c:pt>
                <c:pt idx="6">
                  <c:v>1</c:v>
                </c:pt>
                <c:pt idx="7">
                  <c:v>1</c:v>
                </c:pt>
                <c:pt idx="8">
                  <c:v>0.8</c:v>
                </c:pt>
                <c:pt idx="9">
                  <c:v>0.7</c:v>
                </c:pt>
                <c:pt idx="10">
                  <c:v>1</c:v>
                </c:pt>
                <c:pt idx="11">
                  <c:v>1.3</c:v>
                </c:pt>
                <c:pt idx="12">
                  <c:v>1.4</c:v>
                </c:pt>
                <c:pt idx="13">
                  <c:v>1.2</c:v>
                </c:pt>
                <c:pt idx="14">
                  <c:v>0.7</c:v>
                </c:pt>
                <c:pt idx="15">
                  <c:v>0.3</c:v>
                </c:pt>
                <c:pt idx="16">
                  <c:v>0.1</c:v>
                </c:pt>
                <c:pt idx="17">
                  <c:v>0.3</c:v>
                </c:pt>
                <c:pt idx="18">
                  <c:v>0.4</c:v>
                </c:pt>
                <c:pt idx="19">
                  <c:v>-0.2</c:v>
                </c:pt>
                <c:pt idx="20">
                  <c:v>-0.3</c:v>
                </c:pt>
                <c:pt idx="21">
                  <c:v>-0.3</c:v>
                </c:pt>
                <c:pt idx="22">
                  <c:v>-0.3</c:v>
                </c:pt>
                <c:pt idx="23">
                  <c:v>-0.3</c:v>
                </c:pt>
                <c:pt idx="24">
                  <c:v>0.9</c:v>
                </c:pt>
                <c:pt idx="25">
                  <c:v>0.9</c:v>
                </c:pt>
                <c:pt idx="26">
                  <c:v>1.3</c:v>
                </c:pt>
                <c:pt idx="27">
                  <c:v>1.6</c:v>
                </c:pt>
                <c:pt idx="28">
                  <c:v>2</c:v>
                </c:pt>
                <c:pt idx="29">
                  <c:v>1.9</c:v>
                </c:pt>
                <c:pt idx="30">
                  <c:v>2.2000000000000002</c:v>
                </c:pt>
                <c:pt idx="31">
                  <c:v>3</c:v>
                </c:pt>
                <c:pt idx="32">
                  <c:v>3.4</c:v>
                </c:pt>
                <c:pt idx="33">
                  <c:v>4.0999999999999996</c:v>
                </c:pt>
                <c:pt idx="34">
                  <c:v>4.9000000000000004</c:v>
                </c:pt>
                <c:pt idx="35">
                  <c:v>5</c:v>
                </c:pt>
                <c:pt idx="36">
                  <c:v>5.0999999999999996</c:v>
                </c:pt>
                <c:pt idx="37">
                  <c:v>5.9</c:v>
                </c:pt>
                <c:pt idx="38">
                  <c:v>7.4</c:v>
                </c:pt>
                <c:pt idx="39">
                  <c:v>7.4</c:v>
                </c:pt>
                <c:pt idx="40">
                  <c:v>8.1</c:v>
                </c:pt>
                <c:pt idx="41">
                  <c:v>8.6</c:v>
                </c:pt>
                <c:pt idx="42">
                  <c:v>8.9</c:v>
                </c:pt>
                <c:pt idx="43">
                  <c:v>9.1</c:v>
                </c:pt>
                <c:pt idx="44">
                  <c:v>9.9</c:v>
                </c:pt>
                <c:pt idx="45">
                  <c:v>10.6</c:v>
                </c:pt>
                <c:pt idx="46">
                  <c:v>10.1</c:v>
                </c:pt>
                <c:pt idx="47">
                  <c:v>9.1999999999999993</c:v>
                </c:pt>
                <c:pt idx="48" formatCode="0.0">
                  <c:v>8.6</c:v>
                </c:pt>
                <c:pt idx="49" formatCode="0.0">
                  <c:v>8.5</c:v>
                </c:pt>
                <c:pt idx="50" formatCode="0.0">
                  <c:v>6.9</c:v>
                </c:pt>
                <c:pt idx="51" formatCode="0.0">
                  <c:v>7</c:v>
                </c:pt>
                <c:pt idx="52" formatCode="0.0">
                  <c:v>6.1</c:v>
                </c:pt>
                <c:pt idx="53" formatCode="0.0">
                  <c:v>5.5</c:v>
                </c:pt>
              </c:numCache>
            </c:numRef>
          </c:val>
          <c:smooth val="0"/>
          <c:extLst>
            <c:ext xmlns:c16="http://schemas.microsoft.com/office/drawing/2014/chart" uri="{C3380CC4-5D6E-409C-BE32-E72D297353CC}">
              <c16:uniqueId val="{00000001-74A5-4C5E-B324-635933563E3F}"/>
            </c:ext>
          </c:extLst>
        </c:ser>
        <c:ser>
          <c:idx val="2"/>
          <c:order val="2"/>
          <c:tx>
            <c:strRef>
              <c:f>Sheet1!$E$1</c:f>
              <c:strCache>
                <c:ptCount val="1"/>
                <c:pt idx="0">
                  <c:v>Չինաստան</c:v>
                </c:pt>
              </c:strCache>
            </c:strRef>
          </c:tx>
          <c:spPr>
            <a:ln w="28575" cap="rnd">
              <a:solidFill>
                <a:schemeClr val="bg1">
                  <a:lumMod val="50000"/>
                </a:scheme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Sheet1!$E$2:$E$67</c:f>
              <c:numCache>
                <c:formatCode>General</c:formatCode>
                <c:ptCount val="54"/>
                <c:pt idx="0">
                  <c:v>1.7</c:v>
                </c:pt>
                <c:pt idx="1">
                  <c:v>1.5</c:v>
                </c:pt>
                <c:pt idx="2">
                  <c:v>2.2999999999999998</c:v>
                </c:pt>
                <c:pt idx="3">
                  <c:v>2.5</c:v>
                </c:pt>
                <c:pt idx="4">
                  <c:v>2.7</c:v>
                </c:pt>
                <c:pt idx="5">
                  <c:v>2.7</c:v>
                </c:pt>
                <c:pt idx="6">
                  <c:v>2.8</c:v>
                </c:pt>
                <c:pt idx="7">
                  <c:v>2.8</c:v>
                </c:pt>
                <c:pt idx="8">
                  <c:v>3</c:v>
                </c:pt>
                <c:pt idx="9">
                  <c:v>3.8</c:v>
                </c:pt>
                <c:pt idx="10">
                  <c:v>4.5</c:v>
                </c:pt>
                <c:pt idx="11">
                  <c:v>4.5</c:v>
                </c:pt>
                <c:pt idx="12">
                  <c:v>5.4</c:v>
                </c:pt>
                <c:pt idx="13">
                  <c:v>5.2</c:v>
                </c:pt>
                <c:pt idx="14">
                  <c:v>4.3</c:v>
                </c:pt>
                <c:pt idx="15">
                  <c:v>3.3</c:v>
                </c:pt>
                <c:pt idx="16">
                  <c:v>2.4</c:v>
                </c:pt>
                <c:pt idx="17">
                  <c:v>2.5</c:v>
                </c:pt>
                <c:pt idx="18">
                  <c:v>2.7</c:v>
                </c:pt>
                <c:pt idx="19">
                  <c:v>2.4</c:v>
                </c:pt>
                <c:pt idx="20">
                  <c:v>1.7</c:v>
                </c:pt>
                <c:pt idx="21">
                  <c:v>0.5</c:v>
                </c:pt>
                <c:pt idx="22">
                  <c:v>-0.5</c:v>
                </c:pt>
                <c:pt idx="23">
                  <c:v>0.2</c:v>
                </c:pt>
                <c:pt idx="24">
                  <c:v>-0.3</c:v>
                </c:pt>
                <c:pt idx="25">
                  <c:v>-0.2</c:v>
                </c:pt>
                <c:pt idx="26">
                  <c:v>0.4</c:v>
                </c:pt>
                <c:pt idx="27">
                  <c:v>0.9</c:v>
                </c:pt>
                <c:pt idx="28">
                  <c:v>1.3</c:v>
                </c:pt>
                <c:pt idx="29">
                  <c:v>1.1000000000000001</c:v>
                </c:pt>
                <c:pt idx="30">
                  <c:v>1</c:v>
                </c:pt>
                <c:pt idx="31">
                  <c:v>0.8</c:v>
                </c:pt>
                <c:pt idx="32">
                  <c:v>0.7</c:v>
                </c:pt>
                <c:pt idx="33">
                  <c:v>1.5</c:v>
                </c:pt>
                <c:pt idx="34">
                  <c:v>2.2999999999999998</c:v>
                </c:pt>
                <c:pt idx="35">
                  <c:v>1.5</c:v>
                </c:pt>
                <c:pt idx="36">
                  <c:v>0.9</c:v>
                </c:pt>
                <c:pt idx="37">
                  <c:v>0.9</c:v>
                </c:pt>
                <c:pt idx="38">
                  <c:v>1.5</c:v>
                </c:pt>
                <c:pt idx="39">
                  <c:v>2.1</c:v>
                </c:pt>
                <c:pt idx="40">
                  <c:v>2.1</c:v>
                </c:pt>
                <c:pt idx="41">
                  <c:v>2.5</c:v>
                </c:pt>
                <c:pt idx="42">
                  <c:v>2.7</c:v>
                </c:pt>
                <c:pt idx="43">
                  <c:v>2.5</c:v>
                </c:pt>
                <c:pt idx="44">
                  <c:v>2.8</c:v>
                </c:pt>
                <c:pt idx="45">
                  <c:v>2.1</c:v>
                </c:pt>
                <c:pt idx="46">
                  <c:v>1.6</c:v>
                </c:pt>
                <c:pt idx="47">
                  <c:v>1.8</c:v>
                </c:pt>
                <c:pt idx="48" formatCode="0.0">
                  <c:v>2.1</c:v>
                </c:pt>
                <c:pt idx="49" formatCode="0.0">
                  <c:v>1</c:v>
                </c:pt>
                <c:pt idx="50" formatCode="0.0">
                  <c:v>0.7</c:v>
                </c:pt>
                <c:pt idx="51" formatCode="0.0">
                  <c:v>0.1</c:v>
                </c:pt>
                <c:pt idx="52" formatCode="0.0">
                  <c:v>0.2</c:v>
                </c:pt>
                <c:pt idx="53" formatCode="0.0">
                  <c:v>0</c:v>
                </c:pt>
              </c:numCache>
            </c:numRef>
          </c:val>
          <c:smooth val="0"/>
          <c:extLst>
            <c:ext xmlns:c16="http://schemas.microsoft.com/office/drawing/2014/chart" uri="{C3380CC4-5D6E-409C-BE32-E72D297353CC}">
              <c16:uniqueId val="{00000002-74A5-4C5E-B324-635933563E3F}"/>
            </c:ext>
          </c:extLst>
        </c:ser>
        <c:ser>
          <c:idx val="3"/>
          <c:order val="3"/>
          <c:tx>
            <c:strRef>
              <c:f>Sheet1!$F$1</c:f>
              <c:strCache>
                <c:ptCount val="1"/>
                <c:pt idx="0">
                  <c:v>ՌԴ</c:v>
                </c:pt>
              </c:strCache>
            </c:strRef>
          </c:tx>
          <c:spPr>
            <a:ln w="25400" cap="rnd">
              <a:solidFill>
                <a:srgbClr val="ED7D31">
                  <a:lumMod val="60000"/>
                  <a:lumOff val="40000"/>
                </a:srgbClr>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Sheet1!$F$2:$F$67</c:f>
              <c:numCache>
                <c:formatCode>0.0</c:formatCode>
                <c:ptCount val="54"/>
                <c:pt idx="0">
                  <c:v>4.9966220000000003</c:v>
                </c:pt>
                <c:pt idx="1">
                  <c:v>5.2376079999999998</c:v>
                </c:pt>
                <c:pt idx="2">
                  <c:v>5.269088</c:v>
                </c:pt>
                <c:pt idx="3">
                  <c:v>5.1747050000000003</c:v>
                </c:pt>
                <c:pt idx="4">
                  <c:v>5.1327939999999996</c:v>
                </c:pt>
                <c:pt idx="5">
                  <c:v>4.6620039999999996</c:v>
                </c:pt>
                <c:pt idx="6">
                  <c:v>4.5889369999999996</c:v>
                </c:pt>
                <c:pt idx="7">
                  <c:v>4.3274910000000002</c:v>
                </c:pt>
                <c:pt idx="8">
                  <c:v>3.9941759999999999</c:v>
                </c:pt>
                <c:pt idx="9">
                  <c:v>3.766187</c:v>
                </c:pt>
                <c:pt idx="10">
                  <c:v>3.539037</c:v>
                </c:pt>
                <c:pt idx="11">
                  <c:v>3.0461900000000002</c:v>
                </c:pt>
                <c:pt idx="12">
                  <c:v>2.4238930000000001</c:v>
                </c:pt>
                <c:pt idx="13">
                  <c:v>2.3117209999999999</c:v>
                </c:pt>
                <c:pt idx="14">
                  <c:v>2.546287</c:v>
                </c:pt>
                <c:pt idx="15">
                  <c:v>3.098436</c:v>
                </c:pt>
                <c:pt idx="16">
                  <c:v>3.0265110000000002</c:v>
                </c:pt>
                <c:pt idx="17">
                  <c:v>3.2118850000000001</c:v>
                </c:pt>
                <c:pt idx="18">
                  <c:v>3.3663940000000001</c:v>
                </c:pt>
                <c:pt idx="19">
                  <c:v>3.5736240000000001</c:v>
                </c:pt>
                <c:pt idx="20">
                  <c:v>3.6669890000000001</c:v>
                </c:pt>
                <c:pt idx="21">
                  <c:v>3.9775870000000002</c:v>
                </c:pt>
                <c:pt idx="22">
                  <c:v>4.4234419999999997</c:v>
                </c:pt>
                <c:pt idx="23">
                  <c:v>4.912471</c:v>
                </c:pt>
                <c:pt idx="24">
                  <c:v>5.1946070000000004</c:v>
                </c:pt>
                <c:pt idx="25">
                  <c:v>5.6664250000000003</c:v>
                </c:pt>
                <c:pt idx="26">
                  <c:v>5.7820220000000004</c:v>
                </c:pt>
                <c:pt idx="27">
                  <c:v>5.5197440000000002</c:v>
                </c:pt>
                <c:pt idx="28">
                  <c:v>6.0143519999999997</c:v>
                </c:pt>
                <c:pt idx="29">
                  <c:v>6.5115259999999999</c:v>
                </c:pt>
                <c:pt idx="30">
                  <c:v>6.4690690000000002</c:v>
                </c:pt>
                <c:pt idx="31">
                  <c:v>6.6927440000000002</c:v>
                </c:pt>
                <c:pt idx="32">
                  <c:v>7.4080859999999999</c:v>
                </c:pt>
                <c:pt idx="33">
                  <c:v>8.1353340000000003</c:v>
                </c:pt>
                <c:pt idx="34">
                  <c:v>8.4037670000000002</c:v>
                </c:pt>
                <c:pt idx="35">
                  <c:v>8.3930150000000001</c:v>
                </c:pt>
                <c:pt idx="36">
                  <c:v>8.73</c:v>
                </c:pt>
                <c:pt idx="37" formatCode="General">
                  <c:v>9.1999999999999993</c:v>
                </c:pt>
                <c:pt idx="38" formatCode="General">
                  <c:v>16.7</c:v>
                </c:pt>
                <c:pt idx="39" formatCode="General">
                  <c:v>17.8</c:v>
                </c:pt>
                <c:pt idx="40" formatCode="General">
                  <c:v>17.100000000000001</c:v>
                </c:pt>
                <c:pt idx="41" formatCode="General">
                  <c:v>15.9</c:v>
                </c:pt>
                <c:pt idx="42" formatCode="General">
                  <c:v>15.1</c:v>
                </c:pt>
                <c:pt idx="43" formatCode="General">
                  <c:v>14.3</c:v>
                </c:pt>
                <c:pt idx="44" formatCode="General">
                  <c:v>13.7</c:v>
                </c:pt>
                <c:pt idx="45" formatCode="General">
                  <c:v>12.6</c:v>
                </c:pt>
                <c:pt idx="46">
                  <c:v>12</c:v>
                </c:pt>
                <c:pt idx="47" formatCode="General">
                  <c:v>11.9</c:v>
                </c:pt>
                <c:pt idx="48">
                  <c:v>11.8</c:v>
                </c:pt>
                <c:pt idx="49">
                  <c:v>11</c:v>
                </c:pt>
                <c:pt idx="50">
                  <c:v>3.5</c:v>
                </c:pt>
                <c:pt idx="51">
                  <c:v>2.2999999999999998</c:v>
                </c:pt>
                <c:pt idx="52">
                  <c:v>2.5</c:v>
                </c:pt>
                <c:pt idx="53">
                  <c:v>3.2</c:v>
                </c:pt>
              </c:numCache>
            </c:numRef>
          </c:val>
          <c:smooth val="0"/>
          <c:extLst>
            <c:ext xmlns:c16="http://schemas.microsoft.com/office/drawing/2014/chart" uri="{C3380CC4-5D6E-409C-BE32-E72D297353CC}">
              <c16:uniqueId val="{00000003-74A5-4C5E-B324-635933563E3F}"/>
            </c:ext>
          </c:extLst>
        </c:ser>
        <c:dLbls>
          <c:showLegendKey val="0"/>
          <c:showVal val="0"/>
          <c:showCatName val="0"/>
          <c:showSerName val="0"/>
          <c:showPercent val="0"/>
          <c:showBubbleSize val="0"/>
        </c:dLbls>
        <c:smooth val="0"/>
        <c:axId val="-1243322560"/>
        <c:axId val="-1138600448"/>
      </c:lineChart>
      <c:catAx>
        <c:axId val="-12433225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600448"/>
        <c:crosses val="autoZero"/>
        <c:auto val="1"/>
        <c:lblAlgn val="ctr"/>
        <c:lblOffset val="100"/>
        <c:noMultiLvlLbl val="0"/>
      </c:catAx>
      <c:valAx>
        <c:axId val="-1138600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4332256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6556209735146743"/>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Sheet1!$B$2:$S$2</c:f>
              <c:numCache>
                <c:formatCode>0.0</c:formatCode>
                <c:ptCount val="6"/>
                <c:pt idx="0">
                  <c:v>28.381945920369532</c:v>
                </c:pt>
                <c:pt idx="1">
                  <c:v>39.174014173128057</c:v>
                </c:pt>
                <c:pt idx="2">
                  <c:v>54.177236015405697</c:v>
                </c:pt>
                <c:pt idx="3">
                  <c:v>49.682639381525149</c:v>
                </c:pt>
                <c:pt idx="4">
                  <c:v>42.343355061675965</c:v>
                </c:pt>
                <c:pt idx="5">
                  <c:v>25.876041875242791</c:v>
                </c:pt>
              </c:numCache>
            </c:numRef>
          </c:val>
          <c:smooth val="0"/>
          <c:extLst>
            <c:ext xmlns:c16="http://schemas.microsoft.com/office/drawing/2014/chart" uri="{C3380CC4-5D6E-409C-BE32-E72D297353CC}">
              <c16:uniqueId val="{00000000-CBD7-4D42-8537-3F1A13616559}"/>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Sheet1!$B$3:$S$3</c:f>
              <c:numCache>
                <c:formatCode>0.0</c:formatCode>
                <c:ptCount val="6"/>
                <c:pt idx="0">
                  <c:v>15.309531183319422</c:v>
                </c:pt>
                <c:pt idx="1">
                  <c:v>16.699827390895166</c:v>
                </c:pt>
                <c:pt idx="2">
                  <c:v>15.381093323296156</c:v>
                </c:pt>
                <c:pt idx="3">
                  <c:v>13.445476038756766</c:v>
                </c:pt>
                <c:pt idx="4">
                  <c:v>13.764399897437343</c:v>
                </c:pt>
                <c:pt idx="5">
                  <c:v>14.266095626007555</c:v>
                </c:pt>
              </c:numCache>
            </c:numRef>
          </c:val>
          <c:smooth val="0"/>
          <c:extLst>
            <c:ext xmlns:c16="http://schemas.microsoft.com/office/drawing/2014/chart" uri="{C3380CC4-5D6E-409C-BE32-E72D297353CC}">
              <c16:uniqueId val="{00000001-CBD7-4D42-8537-3F1A13616559}"/>
            </c:ext>
          </c:extLst>
        </c:ser>
        <c:ser>
          <c:idx val="2"/>
          <c:order val="2"/>
          <c:tx>
            <c:strRef>
              <c:f>Sheet1!$A$4</c:f>
              <c:strCache>
                <c:ptCount val="1"/>
                <c:pt idx="0">
                  <c:v>Փոխարժեքի փոփոխություն (կուտակային)</c:v>
                </c:pt>
              </c:strCache>
            </c:strRef>
          </c:tx>
          <c:dLbls>
            <c:dLbl>
              <c:idx val="0"/>
              <c:layout>
                <c:manualLayout>
                  <c:x val="-3.6993679724905484E-2"/>
                  <c:y val="-4.18606836077309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BD7-4D42-8537-3F1A13616559}"/>
                </c:ext>
              </c:extLst>
            </c:dLbl>
            <c:dLbl>
              <c:idx val="5"/>
              <c:layout>
                <c:manualLayout>
                  <c:x val="-2.2882417852449724E-2"/>
                  <c:y val="-1.34515926986399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BD7-4D42-8537-3F1A1361655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Sheet1!$B$4:$S$4</c:f>
              <c:numCache>
                <c:formatCode>0.0</c:formatCode>
                <c:ptCount val="6"/>
                <c:pt idx="0">
                  <c:v>21.748465482836153</c:v>
                </c:pt>
                <c:pt idx="1">
                  <c:v>21.903108926444887</c:v>
                </c:pt>
                <c:pt idx="2">
                  <c:v>23.893256805175866</c:v>
                </c:pt>
                <c:pt idx="3">
                  <c:v>23.293218866574691</c:v>
                </c:pt>
                <c:pt idx="4">
                  <c:v>22.265480922913</c:v>
                </c:pt>
                <c:pt idx="5">
                  <c:v>20.124425440940684</c:v>
                </c:pt>
              </c:numCache>
            </c:numRef>
          </c:val>
          <c:smooth val="0"/>
          <c:extLst>
            <c:ext xmlns:c16="http://schemas.microsoft.com/office/drawing/2014/chart" uri="{C3380CC4-5D6E-409C-BE32-E72D297353CC}">
              <c16:uniqueId val="{00000004-CBD7-4D42-8537-3F1A13616559}"/>
            </c:ext>
          </c:extLst>
        </c:ser>
        <c:dLbls>
          <c:showLegendKey val="0"/>
          <c:showVal val="0"/>
          <c:showCatName val="0"/>
          <c:showSerName val="0"/>
          <c:showPercent val="0"/>
          <c:showBubbleSize val="0"/>
        </c:dLbls>
        <c:marker val="1"/>
        <c:smooth val="0"/>
        <c:axId val="119738368"/>
        <c:axId val="119739904"/>
      </c:lineChart>
      <c:catAx>
        <c:axId val="11973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9904"/>
        <c:crosses val="autoZero"/>
        <c:auto val="1"/>
        <c:lblAlgn val="ctr"/>
        <c:lblOffset val="100"/>
        <c:noMultiLvlLbl val="0"/>
      </c:catAx>
      <c:valAx>
        <c:axId val="119739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8368"/>
        <c:crosses val="autoZero"/>
        <c:crossBetween val="between"/>
      </c:valAx>
      <c:spPr>
        <a:solidFill>
          <a:sysClr val="window" lastClr="FFFFFF"/>
        </a:solidFill>
        <a:ln>
          <a:noFill/>
        </a:ln>
        <a:effectLst/>
      </c:spPr>
    </c:plotArea>
    <c:legend>
      <c:legendPos val="b"/>
      <c:layout>
        <c:manualLayout>
          <c:xMode val="edge"/>
          <c:yMode val="edge"/>
          <c:x val="0"/>
          <c:y val="0.8096125626342161"/>
          <c:w val="1"/>
          <c:h val="0.190387437365783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67050869614060893"/>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1"/>
              <c:layout>
                <c:manualLayout>
                  <c:x val="-5.9795501022494889E-2"/>
                  <c:y val="6.11064349714906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8EC-484E-8DE9-4AF3D5B04FE5}"/>
                </c:ext>
              </c:extLst>
            </c:dLbl>
            <c:dLbl>
              <c:idx val="3"/>
              <c:layout>
                <c:manualLayout>
                  <c:x val="-8.0726212904368544E-2"/>
                  <c:y val="5.53593085347090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8EC-484E-8DE9-4AF3D5B04FE5}"/>
                </c:ext>
              </c:extLst>
            </c:dLbl>
            <c:dLbl>
              <c:idx val="4"/>
              <c:layout>
                <c:manualLayout>
                  <c:x val="-6.7474679162037254E-2"/>
                  <c:y val="3.8117929224364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8EC-484E-8DE9-4AF3D5B04FE5}"/>
                </c:ext>
              </c:extLst>
            </c:dLbl>
            <c:dLbl>
              <c:idx val="5"/>
              <c:layout>
                <c:manualLayout>
                  <c:x val="-3.9189411139558476E-2"/>
                  <c:y val="5.53593085347089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8EC-484E-8DE9-4AF3D5B04FE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Sheet1!$B$2:$S$2</c:f>
              <c:numCache>
                <c:formatCode>0.0</c:formatCode>
                <c:ptCount val="6"/>
                <c:pt idx="0">
                  <c:v>77.532669527970342</c:v>
                </c:pt>
                <c:pt idx="1">
                  <c:v>71.408238013066295</c:v>
                </c:pt>
                <c:pt idx="2">
                  <c:v>146.05293842493245</c:v>
                </c:pt>
                <c:pt idx="3">
                  <c:v>85.522090979958818</c:v>
                </c:pt>
                <c:pt idx="4">
                  <c:v>54.517709984364529</c:v>
                </c:pt>
                <c:pt idx="5">
                  <c:v>33.845641172431669</c:v>
                </c:pt>
              </c:numCache>
            </c:numRef>
          </c:val>
          <c:smooth val="0"/>
          <c:extLst>
            <c:ext xmlns:c16="http://schemas.microsoft.com/office/drawing/2014/chart" uri="{C3380CC4-5D6E-409C-BE32-E72D297353CC}">
              <c16:uniqueId val="{00000004-F8EC-484E-8DE9-4AF3D5B04FE5}"/>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6.5991981063716773E-2"/>
                  <c:y val="-5.95832202009231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8EC-484E-8DE9-4AF3D5B04FE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Sheet1!$B$3:$S$3</c:f>
              <c:numCache>
                <c:formatCode>0.0</c:formatCode>
                <c:ptCount val="6"/>
                <c:pt idx="0">
                  <c:v>77.58360551741967</c:v>
                </c:pt>
                <c:pt idx="1">
                  <c:v>74.244118548763424</c:v>
                </c:pt>
                <c:pt idx="2">
                  <c:v>97.814608215173195</c:v>
                </c:pt>
                <c:pt idx="3">
                  <c:v>94.451667435598154</c:v>
                </c:pt>
                <c:pt idx="4">
                  <c:v>84.1067054197826</c:v>
                </c:pt>
                <c:pt idx="5">
                  <c:v>72.970580451832632</c:v>
                </c:pt>
              </c:numCache>
            </c:numRef>
          </c:val>
          <c:smooth val="0"/>
          <c:extLst>
            <c:ext xmlns:c16="http://schemas.microsoft.com/office/drawing/2014/chart" uri="{C3380CC4-5D6E-409C-BE32-E72D297353CC}">
              <c16:uniqueId val="{00000006-F8EC-484E-8DE9-4AF3D5B04FE5}"/>
            </c:ext>
          </c:extLst>
        </c:ser>
        <c:dLbls>
          <c:dLblPos val="t"/>
          <c:showLegendKey val="0"/>
          <c:showVal val="1"/>
          <c:showCatName val="0"/>
          <c:showSerName val="0"/>
          <c:showPercent val="0"/>
          <c:showBubbleSize val="0"/>
        </c:dLbls>
        <c:marker val="1"/>
        <c:smooth val="0"/>
        <c:axId val="119784960"/>
        <c:axId val="119786496"/>
      </c:lineChart>
      <c:catAx>
        <c:axId val="119784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6496"/>
        <c:crosses val="autoZero"/>
        <c:auto val="1"/>
        <c:lblAlgn val="ctr"/>
        <c:lblOffset val="100"/>
        <c:noMultiLvlLbl val="0"/>
      </c:catAx>
      <c:valAx>
        <c:axId val="11978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49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3122785433070867"/>
          <c:w val="0.97802150537634414"/>
          <c:h val="0.15056184383202098"/>
        </c:manualLayout>
      </c:layout>
      <c:overlay val="0"/>
      <c:spPr>
        <a:noFill/>
        <a:ln>
          <a:noFill/>
        </a:ln>
        <a:effectLst/>
      </c:spPr>
      <c:txPr>
        <a:bodyPr rot="0" spcFirstLastPara="1" vertOverflow="ellipsis" vert="horz" wrap="square" anchor="ctr" anchorCtr="1"/>
        <a:lstStyle/>
        <a:p>
          <a:pPr>
            <a:defRPr sz="9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64598915407947544"/>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Sheet1!$B$2:$S$2</c:f>
              <c:numCache>
                <c:formatCode>0.0</c:formatCode>
                <c:ptCount val="6"/>
                <c:pt idx="0">
                  <c:v>52.113816616887732</c:v>
                </c:pt>
                <c:pt idx="1">
                  <c:v>47.632981689884502</c:v>
                </c:pt>
                <c:pt idx="2">
                  <c:v>71.188696646686822</c:v>
                </c:pt>
                <c:pt idx="3">
                  <c:v>72.042559366851606</c:v>
                </c:pt>
                <c:pt idx="4">
                  <c:v>67.071469885154954</c:v>
                </c:pt>
                <c:pt idx="5">
                  <c:v>60.794744040564154</c:v>
                </c:pt>
              </c:numCache>
            </c:numRef>
          </c:val>
          <c:smooth val="0"/>
          <c:extLst>
            <c:ext xmlns:c16="http://schemas.microsoft.com/office/drawing/2014/chart" uri="{C3380CC4-5D6E-409C-BE32-E72D297353CC}">
              <c16:uniqueId val="{00000000-A843-4BD0-9B17-E28017E6D793}"/>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Sheet1!$B$3:$S$3</c:f>
              <c:numCache>
                <c:formatCode>0.0</c:formatCode>
                <c:ptCount val="6"/>
                <c:pt idx="0">
                  <c:v>-4.1105759506905315</c:v>
                </c:pt>
                <c:pt idx="1">
                  <c:v>-3.1811421663202424</c:v>
                </c:pt>
                <c:pt idx="2">
                  <c:v>-6.731368332201896</c:v>
                </c:pt>
                <c:pt idx="3">
                  <c:v>-8.3280254353907281</c:v>
                </c:pt>
                <c:pt idx="4">
                  <c:v>-9.8712283028420558</c:v>
                </c:pt>
                <c:pt idx="5">
                  <c:v>-10.449282330029163</c:v>
                </c:pt>
              </c:numCache>
            </c:numRef>
          </c:val>
          <c:smooth val="0"/>
          <c:extLst>
            <c:ext xmlns:c16="http://schemas.microsoft.com/office/drawing/2014/chart" uri="{C3380CC4-5D6E-409C-BE32-E72D297353CC}">
              <c16:uniqueId val="{00000001-A843-4BD0-9B17-E28017E6D793}"/>
            </c:ext>
          </c:extLst>
        </c:ser>
        <c:ser>
          <c:idx val="2"/>
          <c:order val="2"/>
          <c:tx>
            <c:strRef>
              <c:f>Sheet1!$A$4</c:f>
              <c:strCache>
                <c:ptCount val="1"/>
                <c:pt idx="0">
                  <c:v>Փոխարժեքի փոփոխություն (կուտակային)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Sheet1!$B$1:$S$1</c:f>
              <c:strCache>
                <c:ptCount val="6"/>
                <c:pt idx="0">
                  <c:v>2023-1</c:v>
                </c:pt>
                <c:pt idx="1">
                  <c:v>2023-2</c:v>
                </c:pt>
                <c:pt idx="2">
                  <c:v>2023-3</c:v>
                </c:pt>
                <c:pt idx="3">
                  <c:v>2023-4</c:v>
                </c:pt>
                <c:pt idx="4">
                  <c:v>2023-5</c:v>
                </c:pt>
                <c:pt idx="5">
                  <c:v>2023-6</c:v>
                </c:pt>
              </c:strCache>
            </c:strRef>
          </c:cat>
          <c:val>
            <c:numRef>
              <c:f>Sheet1!$B$4:$S$4</c:f>
              <c:numCache>
                <c:formatCode>0.0</c:formatCode>
                <c:ptCount val="6"/>
                <c:pt idx="0">
                  <c:v>21.748465482836153</c:v>
                </c:pt>
                <c:pt idx="1">
                  <c:v>21.903108926444901</c:v>
                </c:pt>
                <c:pt idx="2">
                  <c:v>23.893256805175898</c:v>
                </c:pt>
                <c:pt idx="3">
                  <c:v>23.293218866574691</c:v>
                </c:pt>
                <c:pt idx="4">
                  <c:v>22.265480922913</c:v>
                </c:pt>
                <c:pt idx="5">
                  <c:v>20.124425440940684</c:v>
                </c:pt>
              </c:numCache>
            </c:numRef>
          </c:val>
          <c:smooth val="0"/>
          <c:extLst>
            <c:ext xmlns:c16="http://schemas.microsoft.com/office/drawing/2014/chart" uri="{C3380CC4-5D6E-409C-BE32-E72D297353CC}">
              <c16:uniqueId val="{00000002-A843-4BD0-9B17-E28017E6D793}"/>
            </c:ext>
          </c:extLst>
        </c:ser>
        <c:dLbls>
          <c:showLegendKey val="0"/>
          <c:showVal val="0"/>
          <c:showCatName val="0"/>
          <c:showSerName val="0"/>
          <c:showPercent val="0"/>
          <c:showBubbleSize val="0"/>
        </c:dLbls>
        <c:marker val="1"/>
        <c:smooth val="0"/>
        <c:axId val="119738368"/>
        <c:axId val="119739904"/>
      </c:lineChart>
      <c:catAx>
        <c:axId val="11973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9904"/>
        <c:crosses val="autoZero"/>
        <c:auto val="1"/>
        <c:lblAlgn val="ctr"/>
        <c:lblOffset val="100"/>
        <c:noMultiLvlLbl val="0"/>
      </c:catAx>
      <c:valAx>
        <c:axId val="119739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8368"/>
        <c:crosses val="autoZero"/>
        <c:crossBetween val="between"/>
      </c:valAx>
      <c:spPr>
        <a:solidFill>
          <a:sysClr val="window" lastClr="FFFFFF"/>
        </a:solidFill>
        <a:ln>
          <a:noFill/>
        </a:ln>
        <a:effectLst/>
      </c:spPr>
    </c:plotArea>
    <c:legend>
      <c:legendPos val="b"/>
      <c:layout>
        <c:manualLayout>
          <c:xMode val="edge"/>
          <c:yMode val="edge"/>
          <c:x val="0"/>
          <c:y val="0.8242028774181005"/>
          <c:w val="1"/>
          <c:h val="0.175797122581899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2018</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Sheet1!$B$2:$B$4</c:f>
            </c:numRef>
          </c:val>
          <c:extLst>
            <c:ext xmlns:c16="http://schemas.microsoft.com/office/drawing/2014/chart" uri="{C3380CC4-5D6E-409C-BE32-E72D297353CC}">
              <c16:uniqueId val="{00000000-C998-49B5-BB64-06771D76C540}"/>
            </c:ext>
          </c:extLst>
        </c:ser>
        <c:ser>
          <c:idx val="1"/>
          <c:order val="1"/>
          <c:tx>
            <c:strRef>
              <c:f>Sheet1!$C$1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770.05499999999995</c:v>
                </c:pt>
                <c:pt idx="1">
                  <c:v>182.50303500000001</c:v>
                </c:pt>
                <c:pt idx="2">
                  <c:v>587.55196499999988</c:v>
                </c:pt>
              </c:numCache>
            </c:numRef>
          </c:val>
          <c:extLst>
            <c:ext xmlns:c16="http://schemas.microsoft.com/office/drawing/2014/chart" uri="{C3380CC4-5D6E-409C-BE32-E72D297353CC}">
              <c16:uniqueId val="{00000001-C998-49B5-BB64-06771D76C540}"/>
            </c:ext>
          </c:extLst>
        </c:ser>
        <c:ser>
          <c:idx val="2"/>
          <c:order val="2"/>
          <c:tx>
            <c:strRef>
              <c:f>Sheet1!$D$1</c:f>
              <c:strCache>
                <c:ptCount val="1"/>
                <c:pt idx="0">
                  <c:v>2020</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307.58999999999997</c:v>
                </c:pt>
                <c:pt idx="1">
                  <c:v>121.093</c:v>
                </c:pt>
                <c:pt idx="2">
                  <c:v>186.49699999999996</c:v>
                </c:pt>
              </c:numCache>
            </c:numRef>
          </c:val>
          <c:extLst>
            <c:ext xmlns:c16="http://schemas.microsoft.com/office/drawing/2014/chart" uri="{C3380CC4-5D6E-409C-BE32-E72D297353CC}">
              <c16:uniqueId val="{00000002-C998-49B5-BB64-06771D76C540}"/>
            </c:ext>
          </c:extLst>
        </c:ser>
        <c:ser>
          <c:idx val="3"/>
          <c:order val="3"/>
          <c:tx>
            <c:strRef>
              <c:f>Sheet1!$E$1</c:f>
              <c:strCache>
                <c:ptCount val="1"/>
                <c:pt idx="0">
                  <c:v>2021</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243.07599999999999</c:v>
                </c:pt>
                <c:pt idx="1">
                  <c:v>95.03</c:v>
                </c:pt>
                <c:pt idx="2">
                  <c:v>148.04599999999999</c:v>
                </c:pt>
              </c:numCache>
            </c:numRef>
          </c:val>
          <c:extLst>
            <c:ext xmlns:c16="http://schemas.microsoft.com/office/drawing/2014/chart" uri="{C3380CC4-5D6E-409C-BE32-E72D297353CC}">
              <c16:uniqueId val="{00000003-C998-49B5-BB64-06771D76C540}"/>
            </c:ext>
          </c:extLst>
        </c:ser>
        <c:ser>
          <c:idx val="4"/>
          <c:order val="4"/>
          <c:tx>
            <c:strRef>
              <c:f>Sheet1!$F$1</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588.73099999999999</c:v>
                </c:pt>
                <c:pt idx="1">
                  <c:v>251.035</c:v>
                </c:pt>
                <c:pt idx="2">
                  <c:v>337.69600000000003</c:v>
                </c:pt>
              </c:numCache>
            </c:numRef>
          </c:val>
          <c:extLst>
            <c:ext xmlns:c16="http://schemas.microsoft.com/office/drawing/2014/chart" uri="{C3380CC4-5D6E-409C-BE32-E72D297353CC}">
              <c16:uniqueId val="{00000004-C998-49B5-BB64-06771D76C540}"/>
            </c:ext>
          </c:extLst>
        </c:ser>
        <c:ser>
          <c:idx val="5"/>
          <c:order val="5"/>
          <c:tx>
            <c:strRef>
              <c:f>Sheet1!$G$1</c:f>
              <c:strCache>
                <c:ptCount val="1"/>
                <c:pt idx="0">
                  <c:v>2023</c:v>
                </c:pt>
              </c:strCache>
            </c:strRef>
          </c:tx>
          <c:spPr>
            <a:solidFill>
              <a:srgbClr val="F796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Sheet1!$G$2:$G$4</c:f>
              <c:numCache>
                <c:formatCode>0</c:formatCode>
                <c:ptCount val="3"/>
                <c:pt idx="0">
                  <c:v>1002.878</c:v>
                </c:pt>
                <c:pt idx="1">
                  <c:v>518.02800000000002</c:v>
                </c:pt>
                <c:pt idx="2">
                  <c:v>484.85</c:v>
                </c:pt>
              </c:numCache>
            </c:numRef>
          </c:val>
          <c:extLst>
            <c:ext xmlns:c16="http://schemas.microsoft.com/office/drawing/2014/chart" uri="{C3380CC4-5D6E-409C-BE32-E72D297353CC}">
              <c16:uniqueId val="{00000005-C998-49B5-BB64-06771D76C540}"/>
            </c:ext>
          </c:extLst>
        </c:ser>
        <c:dLbls>
          <c:dLblPos val="outEnd"/>
          <c:showLegendKey val="0"/>
          <c:showVal val="1"/>
          <c:showCatName val="0"/>
          <c:showSerName val="0"/>
          <c:showPercent val="0"/>
          <c:showBubbleSize val="0"/>
        </c:dLbls>
        <c:gapWidth val="219"/>
        <c:overlap val="-27"/>
        <c:axId val="679410424"/>
        <c:axId val="679415344"/>
      </c:barChart>
      <c:catAx>
        <c:axId val="67941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5344"/>
        <c:crosses val="autoZero"/>
        <c:auto val="1"/>
        <c:lblAlgn val="ctr"/>
        <c:lblOffset val="100"/>
        <c:noMultiLvlLbl val="0"/>
      </c:catAx>
      <c:valAx>
        <c:axId val="67941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0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Sheet1!$D$1</c:f>
              <c:strCache>
                <c:ptCount val="1"/>
                <c:pt idx="0">
                  <c:v>ՌԴ</c:v>
                </c:pt>
              </c:strCache>
            </c:strRef>
          </c:tx>
          <c:spPr>
            <a:solidFill>
              <a:schemeClr val="accent1">
                <a:lumMod val="75000"/>
              </a:schemeClr>
            </a:solidFill>
            <a:ln>
              <a:noFill/>
            </a:ln>
            <a:effectLst/>
          </c:spPr>
          <c:invertIfNegative val="0"/>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Sheet1!$D$6:$D$23</c:f>
              <c:numCache>
                <c:formatCode>0.0</c:formatCode>
                <c:ptCount val="18"/>
                <c:pt idx="0">
                  <c:v>75.906300000000002</c:v>
                </c:pt>
                <c:pt idx="1">
                  <c:v>160.00910000000002</c:v>
                </c:pt>
                <c:pt idx="2">
                  <c:v>239.61420999999999</c:v>
                </c:pt>
                <c:pt idx="3">
                  <c:v>154.12681000000001</c:v>
                </c:pt>
                <c:pt idx="4">
                  <c:v>77.714060000000003</c:v>
                </c:pt>
                <c:pt idx="5">
                  <c:v>50.1432</c:v>
                </c:pt>
                <c:pt idx="6">
                  <c:v>114.17736000000001</c:v>
                </c:pt>
                <c:pt idx="7">
                  <c:v>122.73272</c:v>
                </c:pt>
                <c:pt idx="8">
                  <c:v>67.980919999999998</c:v>
                </c:pt>
                <c:pt idx="9">
                  <c:v>118.7869</c:v>
                </c:pt>
                <c:pt idx="10">
                  <c:v>158.30554999999998</c:v>
                </c:pt>
                <c:pt idx="11">
                  <c:v>118.69959999999998</c:v>
                </c:pt>
                <c:pt idx="12">
                  <c:v>118.26725</c:v>
                </c:pt>
                <c:pt idx="13">
                  <c:v>814.20412999999996</c:v>
                </c:pt>
                <c:pt idx="14">
                  <c:v>1090.5065999999999</c:v>
                </c:pt>
                <c:pt idx="15">
                  <c:v>1122.2293199999999</c:v>
                </c:pt>
                <c:pt idx="16">
                  <c:v>1079.4368400000001</c:v>
                </c:pt>
                <c:pt idx="17">
                  <c:v>709.71907999999996</c:v>
                </c:pt>
              </c:numCache>
            </c:numRef>
          </c:val>
          <c:extLst>
            <c:ext xmlns:c16="http://schemas.microsoft.com/office/drawing/2014/chart" uri="{C3380CC4-5D6E-409C-BE32-E72D297353CC}">
              <c16:uniqueId val="{00000000-968C-4FD8-A912-CD8909403178}"/>
            </c:ext>
          </c:extLst>
        </c:ser>
        <c:ser>
          <c:idx val="2"/>
          <c:order val="2"/>
          <c:tx>
            <c:strRef>
              <c:f>Sheet1!$E$1</c:f>
              <c:strCache>
                <c:ptCount val="1"/>
                <c:pt idx="0">
                  <c:v>Այլ</c:v>
                </c:pt>
              </c:strCache>
            </c:strRef>
          </c:tx>
          <c:spPr>
            <a:solidFill>
              <a:schemeClr val="accent3"/>
            </a:solidFill>
            <a:ln>
              <a:noFill/>
            </a:ln>
            <a:effectLst/>
          </c:spPr>
          <c:invertIfNegative val="0"/>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Sheet1!$E$6:$E$23</c:f>
              <c:numCache>
                <c:formatCode>0.0</c:formatCode>
                <c:ptCount val="18"/>
                <c:pt idx="0">
                  <c:v>28.937740000000005</c:v>
                </c:pt>
                <c:pt idx="1">
                  <c:v>-34.662960000000012</c:v>
                </c:pt>
                <c:pt idx="2">
                  <c:v>-135.3861</c:v>
                </c:pt>
                <c:pt idx="3">
                  <c:v>15.474779999999981</c:v>
                </c:pt>
                <c:pt idx="4">
                  <c:v>9.6641899999999907</c:v>
                </c:pt>
                <c:pt idx="5">
                  <c:v>55.252929999999999</c:v>
                </c:pt>
                <c:pt idx="6">
                  <c:v>122.69107999999999</c:v>
                </c:pt>
                <c:pt idx="7">
                  <c:v>21.96302</c:v>
                </c:pt>
                <c:pt idx="8">
                  <c:v>61.103229999999996</c:v>
                </c:pt>
                <c:pt idx="9">
                  <c:v>135.01109000000002</c:v>
                </c:pt>
                <c:pt idx="10">
                  <c:v>129.02368999999999</c:v>
                </c:pt>
                <c:pt idx="11">
                  <c:v>94.40330000000003</c:v>
                </c:pt>
                <c:pt idx="12">
                  <c:v>72.026169999999993</c:v>
                </c:pt>
                <c:pt idx="13">
                  <c:v>-10.573099999999954</c:v>
                </c:pt>
                <c:pt idx="14">
                  <c:v>-354.89396999999997</c:v>
                </c:pt>
                <c:pt idx="15">
                  <c:v>-268.12218999999993</c:v>
                </c:pt>
                <c:pt idx="16">
                  <c:v>-526.24768000000006</c:v>
                </c:pt>
                <c:pt idx="17">
                  <c:v>-365.22444000000002</c:v>
                </c:pt>
              </c:numCache>
            </c:numRef>
          </c:val>
          <c:extLst>
            <c:ext xmlns:c16="http://schemas.microsoft.com/office/drawing/2014/chart" uri="{C3380CC4-5D6E-409C-BE32-E72D297353CC}">
              <c16:uniqueId val="{00000001-968C-4FD8-A912-CD8909403178}"/>
            </c:ext>
          </c:extLst>
        </c:ser>
        <c:dLbls>
          <c:showLegendKey val="0"/>
          <c:showVal val="0"/>
          <c:showCatName val="0"/>
          <c:showSerName val="0"/>
          <c:showPercent val="0"/>
          <c:showBubbleSize val="0"/>
        </c:dLbls>
        <c:gapWidth val="80"/>
        <c:overlap val="100"/>
        <c:axId val="642403424"/>
        <c:axId val="642400544"/>
      </c:barChart>
      <c:lineChart>
        <c:grouping val="standard"/>
        <c:varyColors val="0"/>
        <c:ser>
          <c:idx val="0"/>
          <c:order val="0"/>
          <c:tx>
            <c:strRef>
              <c:f>Sheet1!$C$1</c:f>
              <c:strCache>
                <c:ptCount val="1"/>
                <c:pt idx="0">
                  <c:v>Ընդամենը</c:v>
                </c:pt>
              </c:strCache>
            </c:strRef>
          </c:tx>
          <c:spPr>
            <a:ln w="28575" cap="rnd">
              <a:solidFill>
                <a:schemeClr val="tx1"/>
              </a:solidFill>
              <a:round/>
            </a:ln>
            <a:effectLst/>
          </c:spPr>
          <c:marker>
            <c:symbol val="none"/>
          </c:marker>
          <c:cat>
            <c:multiLvlStrRef>
              <c:f>Sheet1!$A$6:$B$23</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Sheet1!$C$6:$C$23</c:f>
              <c:numCache>
                <c:formatCode>0.0</c:formatCode>
                <c:ptCount val="18"/>
                <c:pt idx="0">
                  <c:v>104.84404000000001</c:v>
                </c:pt>
                <c:pt idx="1">
                  <c:v>125.34614000000001</c:v>
                </c:pt>
                <c:pt idx="2">
                  <c:v>104.22811</c:v>
                </c:pt>
                <c:pt idx="3">
                  <c:v>169.60158999999999</c:v>
                </c:pt>
                <c:pt idx="4">
                  <c:v>87.378249999999994</c:v>
                </c:pt>
                <c:pt idx="5">
                  <c:v>105.39613</c:v>
                </c:pt>
                <c:pt idx="6">
                  <c:v>236.86843999999999</c:v>
                </c:pt>
                <c:pt idx="7">
                  <c:v>144.69574</c:v>
                </c:pt>
                <c:pt idx="8">
                  <c:v>129.08414999999999</c:v>
                </c:pt>
                <c:pt idx="9">
                  <c:v>253.79799000000003</c:v>
                </c:pt>
                <c:pt idx="10">
                  <c:v>287.32923999999997</c:v>
                </c:pt>
                <c:pt idx="11">
                  <c:v>213.10290000000001</c:v>
                </c:pt>
                <c:pt idx="12">
                  <c:v>190.29342</c:v>
                </c:pt>
                <c:pt idx="13">
                  <c:v>803.63103000000001</c:v>
                </c:pt>
                <c:pt idx="14">
                  <c:v>735.61262999999997</c:v>
                </c:pt>
                <c:pt idx="15">
                  <c:v>854.10712999999998</c:v>
                </c:pt>
                <c:pt idx="16">
                  <c:v>553.18916000000002</c:v>
                </c:pt>
                <c:pt idx="17">
                  <c:v>344.49463999999995</c:v>
                </c:pt>
              </c:numCache>
            </c:numRef>
          </c:val>
          <c:smooth val="0"/>
          <c:extLst>
            <c:ext xmlns:c16="http://schemas.microsoft.com/office/drawing/2014/chart" uri="{C3380CC4-5D6E-409C-BE32-E72D297353CC}">
              <c16:uniqueId val="{00000002-968C-4FD8-A912-CD8909403178}"/>
            </c:ext>
          </c:extLst>
        </c:ser>
        <c:dLbls>
          <c:showLegendKey val="0"/>
          <c:showVal val="0"/>
          <c:showCatName val="0"/>
          <c:showSerName val="0"/>
          <c:showPercent val="0"/>
          <c:showBubbleSize val="0"/>
        </c:dLbls>
        <c:marker val="1"/>
        <c:smooth val="0"/>
        <c:axId val="642403424"/>
        <c:axId val="642400544"/>
      </c:lineChart>
      <c:catAx>
        <c:axId val="642403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00544"/>
        <c:crosses val="autoZero"/>
        <c:auto val="1"/>
        <c:lblAlgn val="ctr"/>
        <c:lblOffset val="100"/>
        <c:noMultiLvlLbl val="0"/>
      </c:catAx>
      <c:valAx>
        <c:axId val="64240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y-AM" b="1"/>
                  <a:t>մլն ԱՄՆ դոլար</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03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68531088786318E-2"/>
          <c:y val="3.176785222289203E-2"/>
          <c:w val="0.90591154553956621"/>
          <c:h val="0.59461103273692995"/>
        </c:manualLayout>
      </c:layout>
      <c:barChart>
        <c:barDir val="col"/>
        <c:grouping val="stack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Sheet1!$A$2:$B$23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2018</c:v>
                  </c:pt>
                  <c:pt idx="4">
                    <c:v>2019</c:v>
                  </c:pt>
                  <c:pt idx="8">
                    <c:v>2020</c:v>
                  </c:pt>
                  <c:pt idx="12">
                    <c:v>2021</c:v>
                  </c:pt>
                  <c:pt idx="16">
                    <c:v>2022</c:v>
                  </c:pt>
                  <c:pt idx="20">
                    <c:v>2023</c:v>
                  </c:pt>
                </c:lvl>
              </c:multiLvlStrCache>
            </c:multiLvlStrRef>
          </c:cat>
          <c:val>
            <c:numRef>
              <c:f>Sheet1!$B$2:$B$23</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extLst>
            <c:ext xmlns:c16="http://schemas.microsoft.com/office/drawing/2014/chart" uri="{C3380CC4-5D6E-409C-BE32-E72D297353CC}">
              <c16:uniqueId val="{00000000-020D-4AAA-8A8F-D1CCA16C6E28}"/>
            </c:ext>
          </c:extLst>
        </c:ser>
        <c:ser>
          <c:idx val="1"/>
          <c:order val="1"/>
          <c:tx>
            <c:strRef>
              <c:f>Sheet1!$C$1</c:f>
              <c:strCache>
                <c:ptCount val="1"/>
                <c:pt idx="0">
                  <c:v>Դոլար</c:v>
                </c:pt>
              </c:strCache>
            </c:strRef>
          </c:tx>
          <c:spPr>
            <a:solidFill>
              <a:schemeClr val="bg1">
                <a:lumMod val="75000"/>
              </a:schemeClr>
            </a:solidFill>
            <a:ln>
              <a:noFill/>
            </a:ln>
            <a:effectLst>
              <a:outerShdw blurRad="40000" dist="23000" dir="5400000" rotWithShape="0">
                <a:srgbClr val="000000">
                  <a:alpha val="35000"/>
                </a:srgbClr>
              </a:outerShdw>
            </a:effectLst>
          </c:spPr>
          <c:invertIfNegative val="0"/>
          <c:cat>
            <c:multiLvlStrRef>
              <c:f>Sheet1!$A$2:$B$23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2018</c:v>
                  </c:pt>
                  <c:pt idx="4">
                    <c:v>2019</c:v>
                  </c:pt>
                  <c:pt idx="8">
                    <c:v>2020</c:v>
                  </c:pt>
                  <c:pt idx="12">
                    <c:v>2021</c:v>
                  </c:pt>
                  <c:pt idx="16">
                    <c:v>2022</c:v>
                  </c:pt>
                  <c:pt idx="20">
                    <c:v>2023</c:v>
                  </c:pt>
                </c:lvl>
              </c:multiLvlStrCache>
            </c:multiLvlStrRef>
          </c:cat>
          <c:val>
            <c:numRef>
              <c:f>Sheet1!$C$2:$C$23</c:f>
              <c:numCache>
                <c:formatCode>0</c:formatCode>
                <c:ptCount val="22"/>
                <c:pt idx="0">
                  <c:v>3.9529299999999807</c:v>
                </c:pt>
                <c:pt idx="1">
                  <c:v>-19.975296600000092</c:v>
                </c:pt>
                <c:pt idx="2">
                  <c:v>-70.574313899999993</c:v>
                </c:pt>
                <c:pt idx="3">
                  <c:v>-66.549774700000057</c:v>
                </c:pt>
                <c:pt idx="4">
                  <c:v>-77.777560699999981</c:v>
                </c:pt>
                <c:pt idx="5">
                  <c:v>4.9017405000000736</c:v>
                </c:pt>
                <c:pt idx="6">
                  <c:v>-50.03285290000008</c:v>
                </c:pt>
                <c:pt idx="7">
                  <c:v>-21.708400500000153</c:v>
                </c:pt>
                <c:pt idx="8">
                  <c:v>-28.47810800000002</c:v>
                </c:pt>
                <c:pt idx="9">
                  <c:v>4.258640000000014</c:v>
                </c:pt>
                <c:pt idx="10">
                  <c:v>5.1264299999999139</c:v>
                </c:pt>
                <c:pt idx="11">
                  <c:v>-90.218759999999975</c:v>
                </c:pt>
                <c:pt idx="12">
                  <c:v>-44.764182000000119</c:v>
                </c:pt>
                <c:pt idx="13">
                  <c:v>-47.872495999999956</c:v>
                </c:pt>
                <c:pt idx="14">
                  <c:v>3.7606030000000601</c:v>
                </c:pt>
                <c:pt idx="15">
                  <c:v>22.342673000000104</c:v>
                </c:pt>
                <c:pt idx="16">
                  <c:v>82.827041122292712</c:v>
                </c:pt>
                <c:pt idx="17">
                  <c:v>-50.18449343652253</c:v>
                </c:pt>
                <c:pt idx="18">
                  <c:v>-228.23183459037773</c:v>
                </c:pt>
                <c:pt idx="19">
                  <c:v>-326.58099857808588</c:v>
                </c:pt>
                <c:pt idx="20">
                  <c:v>-198.4</c:v>
                </c:pt>
                <c:pt idx="21">
                  <c:v>-28.113131581315599</c:v>
                </c:pt>
              </c:numCache>
            </c:numRef>
          </c:val>
          <c:extLst>
            <c:ext xmlns:c16="http://schemas.microsoft.com/office/drawing/2014/chart" uri="{C3380CC4-5D6E-409C-BE32-E72D297353CC}">
              <c16:uniqueId val="{00000001-020D-4AAA-8A8F-D1CCA16C6E28}"/>
            </c:ext>
          </c:extLst>
        </c:ser>
        <c:ser>
          <c:idx val="2"/>
          <c:order val="2"/>
          <c:tx>
            <c:strRef>
              <c:f>Sheet1!$D$1</c:f>
              <c:strCache>
                <c:ptCount val="1"/>
                <c:pt idx="0">
                  <c:v>Եվրո</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cat>
            <c:multiLvlStrRef>
              <c:f>Sheet1!$A$2:$B$23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2018</c:v>
                  </c:pt>
                  <c:pt idx="4">
                    <c:v>2019</c:v>
                  </c:pt>
                  <c:pt idx="8">
                    <c:v>2020</c:v>
                  </c:pt>
                  <c:pt idx="12">
                    <c:v>2021</c:v>
                  </c:pt>
                  <c:pt idx="16">
                    <c:v>2022</c:v>
                  </c:pt>
                  <c:pt idx="20">
                    <c:v>2023</c:v>
                  </c:pt>
                </c:lvl>
              </c:multiLvlStrCache>
            </c:multiLvlStrRef>
          </c:cat>
          <c:val>
            <c:numRef>
              <c:f>Sheet1!$D$2:$D$23</c:f>
              <c:numCache>
                <c:formatCode>0</c:formatCode>
                <c:ptCount val="22"/>
                <c:pt idx="0">
                  <c:v>-44.000294599999989</c:v>
                </c:pt>
                <c:pt idx="1">
                  <c:v>-60.001685199999997</c:v>
                </c:pt>
                <c:pt idx="2">
                  <c:v>-41.839252899999991</c:v>
                </c:pt>
                <c:pt idx="3">
                  <c:v>-42.408268600000014</c:v>
                </c:pt>
                <c:pt idx="4">
                  <c:v>-48.851464199999981</c:v>
                </c:pt>
                <c:pt idx="5">
                  <c:v>-7.9430901000000347</c:v>
                </c:pt>
                <c:pt idx="6">
                  <c:v>-3.3764428000000066</c:v>
                </c:pt>
                <c:pt idx="7">
                  <c:v>-35.556790800000016</c:v>
                </c:pt>
                <c:pt idx="8">
                  <c:v>-57.345421500000015</c:v>
                </c:pt>
                <c:pt idx="9">
                  <c:v>-28.027285899999995</c:v>
                </c:pt>
                <c:pt idx="10">
                  <c:v>-27.659299799999985</c:v>
                </c:pt>
                <c:pt idx="11">
                  <c:v>-55.250605399999998</c:v>
                </c:pt>
                <c:pt idx="12">
                  <c:v>-37.588152999999977</c:v>
                </c:pt>
                <c:pt idx="13">
                  <c:v>-44.314930999999987</c:v>
                </c:pt>
                <c:pt idx="14">
                  <c:v>-30.467195000000004</c:v>
                </c:pt>
                <c:pt idx="15">
                  <c:v>-47.701574000000022</c:v>
                </c:pt>
                <c:pt idx="16">
                  <c:v>38.055483617751008</c:v>
                </c:pt>
                <c:pt idx="17">
                  <c:v>-116.10974062181617</c:v>
                </c:pt>
                <c:pt idx="18">
                  <c:v>-151.48745476086944</c:v>
                </c:pt>
                <c:pt idx="19">
                  <c:v>-157.53865432476798</c:v>
                </c:pt>
                <c:pt idx="20">
                  <c:v>-173.7</c:v>
                </c:pt>
                <c:pt idx="21">
                  <c:v>-140.58972851489443</c:v>
                </c:pt>
              </c:numCache>
            </c:numRef>
          </c:val>
          <c:extLst>
            <c:ext xmlns:c16="http://schemas.microsoft.com/office/drawing/2014/chart" uri="{C3380CC4-5D6E-409C-BE32-E72D297353CC}">
              <c16:uniqueId val="{00000002-020D-4AAA-8A8F-D1CCA16C6E28}"/>
            </c:ext>
          </c:extLst>
        </c:ser>
        <c:ser>
          <c:idx val="3"/>
          <c:order val="3"/>
          <c:tx>
            <c:strRef>
              <c:f>Sheet1!$E$1</c:f>
              <c:strCache>
                <c:ptCount val="1"/>
                <c:pt idx="0">
                  <c:v>Ռուբլի</c:v>
                </c:pt>
              </c:strCache>
            </c:strRef>
          </c:tx>
          <c:spPr>
            <a:solidFill>
              <a:schemeClr val="accent1">
                <a:lumMod val="75000"/>
              </a:schemeClr>
            </a:solidFill>
            <a:ln>
              <a:noFill/>
            </a:ln>
            <a:effectLst>
              <a:outerShdw blurRad="40000" dist="23000" dir="5400000" rotWithShape="0">
                <a:srgbClr val="000000">
                  <a:alpha val="35000"/>
                </a:srgbClr>
              </a:outerShdw>
            </a:effectLst>
          </c:spPr>
          <c:invertIfNegative val="0"/>
          <c:cat>
            <c:multiLvlStrRef>
              <c:f>Sheet1!$A$2:$B$23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2018</c:v>
                  </c:pt>
                  <c:pt idx="4">
                    <c:v>2019</c:v>
                  </c:pt>
                  <c:pt idx="8">
                    <c:v>2020</c:v>
                  </c:pt>
                  <c:pt idx="12">
                    <c:v>2021</c:v>
                  </c:pt>
                  <c:pt idx="16">
                    <c:v>2022</c:v>
                  </c:pt>
                  <c:pt idx="20">
                    <c:v>2023</c:v>
                  </c:pt>
                </c:lvl>
              </c:multiLvlStrCache>
            </c:multiLvlStrRef>
          </c:cat>
          <c:val>
            <c:numRef>
              <c:f>Sheet1!$E$2:$E$23</c:f>
              <c:numCache>
                <c:formatCode>0</c:formatCode>
                <c:ptCount val="22"/>
                <c:pt idx="0">
                  <c:v>0</c:v>
                </c:pt>
                <c:pt idx="1">
                  <c:v>0</c:v>
                </c:pt>
                <c:pt idx="2">
                  <c:v>0</c:v>
                </c:pt>
                <c:pt idx="3">
                  <c:v>0</c:v>
                </c:pt>
                <c:pt idx="4">
                  <c:v>0</c:v>
                </c:pt>
                <c:pt idx="5">
                  <c:v>0</c:v>
                </c:pt>
                <c:pt idx="6">
                  <c:v>0</c:v>
                </c:pt>
                <c:pt idx="7">
                  <c:v>0</c:v>
                </c:pt>
                <c:pt idx="8">
                  <c:v>0</c:v>
                </c:pt>
                <c:pt idx="9">
                  <c:v>0</c:v>
                </c:pt>
                <c:pt idx="10">
                  <c:v>0</c:v>
                </c:pt>
                <c:pt idx="11">
                  <c:v>0</c:v>
                </c:pt>
                <c:pt idx="12">
                  <c:v>5.1814139999999895</c:v>
                </c:pt>
                <c:pt idx="13">
                  <c:v>56.355378999999985</c:v>
                </c:pt>
                <c:pt idx="14">
                  <c:v>38.985996999999998</c:v>
                </c:pt>
                <c:pt idx="15">
                  <c:v>13.216617000000014</c:v>
                </c:pt>
                <c:pt idx="16">
                  <c:v>-31.598552698007609</c:v>
                </c:pt>
                <c:pt idx="17">
                  <c:v>190.46627119187261</c:v>
                </c:pt>
                <c:pt idx="18">
                  <c:v>423.24379297671146</c:v>
                </c:pt>
                <c:pt idx="19">
                  <c:v>550.39308050890099</c:v>
                </c:pt>
                <c:pt idx="20">
                  <c:v>428.1</c:v>
                </c:pt>
                <c:pt idx="21">
                  <c:v>376.39776191044848</c:v>
                </c:pt>
              </c:numCache>
            </c:numRef>
          </c:val>
          <c:extLst>
            <c:ext xmlns:c16="http://schemas.microsoft.com/office/drawing/2014/chart" uri="{C3380CC4-5D6E-409C-BE32-E72D297353CC}">
              <c16:uniqueId val="{00000003-020D-4AAA-8A8F-D1CCA16C6E28}"/>
            </c:ext>
          </c:extLst>
        </c:ser>
        <c:dLbls>
          <c:showLegendKey val="0"/>
          <c:showVal val="0"/>
          <c:showCatName val="0"/>
          <c:showSerName val="0"/>
          <c:showPercent val="0"/>
          <c:showBubbleSize val="0"/>
        </c:dLbls>
        <c:gapWidth val="100"/>
        <c:overlap val="100"/>
        <c:axId val="505862432"/>
        <c:axId val="505864952"/>
      </c:barChart>
      <c:catAx>
        <c:axId val="505862432"/>
        <c:scaling>
          <c:orientation val="minMax"/>
        </c:scaling>
        <c:delete val="0"/>
        <c:axPos val="b"/>
        <c:numFmt formatCode="General" sourceLinked="1"/>
        <c:majorTickMark val="none"/>
        <c:minorTickMark val="none"/>
        <c:tickLblPos val="low"/>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alpha val="93000"/>
                  </a:schemeClr>
                </a:solidFill>
                <a:latin typeface="GHEA Grapalat" panose="02000506050000020003" pitchFamily="50" charset="0"/>
                <a:ea typeface="+mn-ea"/>
                <a:cs typeface="+mn-cs"/>
              </a:defRPr>
            </a:pPr>
            <a:endParaRPr lang="en-US"/>
          </a:p>
        </c:txPr>
        <c:crossAx val="505864952"/>
        <c:crosses val="autoZero"/>
        <c:auto val="0"/>
        <c:lblAlgn val="ctr"/>
        <c:lblOffset val="100"/>
        <c:noMultiLvlLbl val="0"/>
      </c:catAx>
      <c:valAx>
        <c:axId val="5058649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05862432"/>
        <c:crosses val="autoZero"/>
        <c:crossBetween val="between"/>
      </c:valAx>
      <c:spPr>
        <a:solidFill>
          <a:schemeClr val="bg1"/>
        </a:solidFill>
        <a:ln>
          <a:solidFill>
            <a:sysClr val="window" lastClr="FFFFFF">
              <a:lumMod val="75000"/>
            </a:sysClr>
          </a:solid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28955445989812023"/>
          <c:y val="0.87922034607552513"/>
          <c:w val="0.71044554815263472"/>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52294092072846721"/>
        </c:manualLayout>
      </c:layout>
      <c:barChart>
        <c:barDir val="col"/>
        <c:grouping val="clustered"/>
        <c:varyColors val="0"/>
        <c:ser>
          <c:idx val="0"/>
          <c:order val="0"/>
          <c:tx>
            <c:strRef>
              <c:f>Sheet1!$C$1</c:f>
              <c:strCache>
                <c:ptCount val="1"/>
                <c:pt idx="0">
                  <c:v>ԿԲ միջամտություն (զուտ առք), մլն դոլար</c:v>
                </c:pt>
              </c:strCache>
            </c:strRef>
          </c:tx>
          <c:spPr>
            <a:solidFill>
              <a:srgbClr val="4F81BD">
                <a:lumMod val="75000"/>
              </a:srgbClr>
            </a:solidFill>
            <a:ln w="28575">
              <a:noFill/>
            </a:ln>
            <a:effectLst/>
          </c:spPr>
          <c:invertIfNegative val="0"/>
          <c:cat>
            <c:multiLvlStrRef>
              <c:f>Sheet1!$A$2:$B$73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2018</c:v>
                  </c:pt>
                  <c:pt idx="12">
                    <c:v>2019</c:v>
                  </c:pt>
                  <c:pt idx="24">
                    <c:v>2020</c:v>
                  </c:pt>
                  <c:pt idx="36">
                    <c:v>2021</c:v>
                  </c:pt>
                  <c:pt idx="48">
                    <c:v>2022</c:v>
                  </c:pt>
                  <c:pt idx="60">
                    <c:v>2023</c:v>
                  </c:pt>
                </c:lvl>
              </c:multiLvlStrCache>
            </c:multiLvlStrRef>
          </c:cat>
          <c:val>
            <c:numRef>
              <c:f>Sheet1!$C$2:$C$64</c:f>
              <c:numCache>
                <c:formatCode>0</c:formatCode>
                <c:ptCount val="63"/>
                <c:pt idx="0">
                  <c:v>14</c:v>
                </c:pt>
                <c:pt idx="1">
                  <c:v>7</c:v>
                </c:pt>
                <c:pt idx="2">
                  <c:v>26</c:v>
                </c:pt>
                <c:pt idx="3">
                  <c:v>0</c:v>
                </c:pt>
                <c:pt idx="4">
                  <c:v>-10</c:v>
                </c:pt>
                <c:pt idx="5">
                  <c:v>0</c:v>
                </c:pt>
                <c:pt idx="6">
                  <c:v>7</c:v>
                </c:pt>
                <c:pt idx="7">
                  <c:v>0</c:v>
                </c:pt>
                <c:pt idx="8">
                  <c:v>0</c:v>
                </c:pt>
                <c:pt idx="9">
                  <c:v>0</c:v>
                </c:pt>
                <c:pt idx="10">
                  <c:v>0</c:v>
                </c:pt>
                <c:pt idx="11">
                  <c:v>0</c:v>
                </c:pt>
                <c:pt idx="12">
                  <c:v>0</c:v>
                </c:pt>
                <c:pt idx="13">
                  <c:v>0</c:v>
                </c:pt>
                <c:pt idx="14">
                  <c:v>5</c:v>
                </c:pt>
                <c:pt idx="15">
                  <c:v>56.65</c:v>
                </c:pt>
                <c:pt idx="16">
                  <c:v>27</c:v>
                </c:pt>
                <c:pt idx="17">
                  <c:v>96.6</c:v>
                </c:pt>
                <c:pt idx="18">
                  <c:v>94.9</c:v>
                </c:pt>
                <c:pt idx="19">
                  <c:v>29.6</c:v>
                </c:pt>
                <c:pt idx="20">
                  <c:v>123.25</c:v>
                </c:pt>
                <c:pt idx="21">
                  <c:v>61.7</c:v>
                </c:pt>
                <c:pt idx="22">
                  <c:v>27.1</c:v>
                </c:pt>
                <c:pt idx="23">
                  <c:v>43.8</c:v>
                </c:pt>
                <c:pt idx="24">
                  <c:v>37.799999999999997</c:v>
                </c:pt>
                <c:pt idx="25">
                  <c:v>20</c:v>
                </c:pt>
                <c:pt idx="26">
                  <c:v>-70</c:v>
                </c:pt>
                <c:pt idx="27">
                  <c:v>-23.9</c:v>
                </c:pt>
                <c:pt idx="28">
                  <c:v>0</c:v>
                </c:pt>
                <c:pt idx="29">
                  <c:v>0</c:v>
                </c:pt>
                <c:pt idx="30">
                  <c:v>0</c:v>
                </c:pt>
                <c:pt idx="31">
                  <c:v>0</c:v>
                </c:pt>
                <c:pt idx="32">
                  <c:v>0</c:v>
                </c:pt>
                <c:pt idx="33">
                  <c:v>0</c:v>
                </c:pt>
                <c:pt idx="34">
                  <c:v>-60</c:v>
                </c:pt>
                <c:pt idx="35">
                  <c:v>-50.85</c:v>
                </c:pt>
                <c:pt idx="36">
                  <c:v>-46.8</c:v>
                </c:pt>
                <c:pt idx="37">
                  <c:v>0</c:v>
                </c:pt>
                <c:pt idx="38">
                  <c:v>-34.799999999999997</c:v>
                </c:pt>
                <c:pt idx="39">
                  <c:v>-74.7</c:v>
                </c:pt>
                <c:pt idx="40">
                  <c:v>0</c:v>
                </c:pt>
                <c:pt idx="41">
                  <c:v>7</c:v>
                </c:pt>
                <c:pt idx="42">
                  <c:v>0</c:v>
                </c:pt>
                <c:pt idx="43">
                  <c:v>0</c:v>
                </c:pt>
                <c:pt idx="44">
                  <c:v>10</c:v>
                </c:pt>
                <c:pt idx="45">
                  <c:v>0</c:v>
                </c:pt>
                <c:pt idx="46">
                  <c:v>5</c:v>
                </c:pt>
                <c:pt idx="47">
                  <c:v>0</c:v>
                </c:pt>
                <c:pt idx="48">
                  <c:v>0</c:v>
                </c:pt>
                <c:pt idx="49">
                  <c:v>0</c:v>
                </c:pt>
                <c:pt idx="50">
                  <c:v>0</c:v>
                </c:pt>
                <c:pt idx="51">
                  <c:v>67</c:v>
                </c:pt>
                <c:pt idx="52">
                  <c:v>0</c:v>
                </c:pt>
                <c:pt idx="53">
                  <c:v>100</c:v>
                </c:pt>
                <c:pt idx="54">
                  <c:v>18.5</c:v>
                </c:pt>
                <c:pt idx="55">
                  <c:v>81.3</c:v>
                </c:pt>
                <c:pt idx="56">
                  <c:v>55</c:v>
                </c:pt>
                <c:pt idx="57">
                  <c:v>80</c:v>
                </c:pt>
                <c:pt idx="58">
                  <c:v>114</c:v>
                </c:pt>
                <c:pt idx="59">
                  <c:v>58</c:v>
                </c:pt>
                <c:pt idx="61">
                  <c:v>40</c:v>
                </c:pt>
                <c:pt idx="62">
                  <c:v>151.30000000000001</c:v>
                </c:pt>
              </c:numCache>
            </c:numRef>
          </c:val>
          <c:extLst>
            <c:ext xmlns:c16="http://schemas.microsoft.com/office/drawing/2014/chart" uri="{C3380CC4-5D6E-409C-BE32-E72D297353CC}">
              <c16:uniqueId val="{00000000-2E02-409E-AEB4-0DD82A67E692}"/>
            </c:ext>
          </c:extLst>
        </c:ser>
        <c:dLbls>
          <c:showLegendKey val="0"/>
          <c:showVal val="0"/>
          <c:showCatName val="0"/>
          <c:showSerName val="0"/>
          <c:showPercent val="0"/>
          <c:showBubbleSize val="0"/>
        </c:dLbls>
        <c:gapWidth val="150"/>
        <c:axId val="175953408"/>
        <c:axId val="175954944"/>
      </c:barChart>
      <c:lineChart>
        <c:grouping val="standard"/>
        <c:varyColors val="0"/>
        <c:ser>
          <c:idx val="1"/>
          <c:order val="1"/>
          <c:tx>
            <c:strRef>
              <c:f>Sheet1!$D$1</c:f>
              <c:strCache>
                <c:ptCount val="1"/>
                <c:pt idx="0">
                  <c:v>Դրամ/դոլար (աջ առանցք)</c:v>
                </c:pt>
              </c:strCache>
            </c:strRef>
          </c:tx>
          <c:spPr>
            <a:ln w="28575" cap="rnd">
              <a:solidFill>
                <a:srgbClr val="1F497D">
                  <a:lumMod val="60000"/>
                  <a:lumOff val="40000"/>
                </a:srgbClr>
              </a:solidFill>
              <a:round/>
            </a:ln>
            <a:effectLst/>
          </c:spPr>
          <c:marker>
            <c:symbol val="none"/>
          </c:marker>
          <c:cat>
            <c:multiLvlStrRef>
              <c:f>Sheet1!$A$2:$B$73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2018</c:v>
                  </c:pt>
                  <c:pt idx="12">
                    <c:v>2019</c:v>
                  </c:pt>
                  <c:pt idx="24">
                    <c:v>2020</c:v>
                  </c:pt>
                  <c:pt idx="36">
                    <c:v>2021</c:v>
                  </c:pt>
                  <c:pt idx="48">
                    <c:v>2022</c:v>
                  </c:pt>
                  <c:pt idx="60">
                    <c:v>2023</c:v>
                  </c:pt>
                </c:lvl>
              </c:multiLvlStrCache>
            </c:multiLvlStrRef>
          </c:cat>
          <c:val>
            <c:numRef>
              <c:f>Sheet1!$D$2:$D$64</c:f>
              <c:numCache>
                <c:formatCode>0</c:formatCode>
                <c:ptCount val="63"/>
                <c:pt idx="0">
                  <c:v>482.4</c:v>
                </c:pt>
                <c:pt idx="1">
                  <c:v>481.37</c:v>
                </c:pt>
                <c:pt idx="2">
                  <c:v>480.41</c:v>
                </c:pt>
                <c:pt idx="3">
                  <c:v>481.35</c:v>
                </c:pt>
                <c:pt idx="4">
                  <c:v>484.09</c:v>
                </c:pt>
                <c:pt idx="5">
                  <c:v>482.62</c:v>
                </c:pt>
                <c:pt idx="6">
                  <c:v>481.43</c:v>
                </c:pt>
                <c:pt idx="7">
                  <c:v>482.43</c:v>
                </c:pt>
                <c:pt idx="8">
                  <c:v>483.82</c:v>
                </c:pt>
                <c:pt idx="9">
                  <c:v>484.93</c:v>
                </c:pt>
                <c:pt idx="10">
                  <c:v>486.33</c:v>
                </c:pt>
                <c:pt idx="11">
                  <c:v>484.67</c:v>
                </c:pt>
                <c:pt idx="12">
                  <c:v>485.79</c:v>
                </c:pt>
                <c:pt idx="13">
                  <c:v>488.41</c:v>
                </c:pt>
                <c:pt idx="14">
                  <c:v>487.48</c:v>
                </c:pt>
                <c:pt idx="15">
                  <c:v>484.29</c:v>
                </c:pt>
                <c:pt idx="16">
                  <c:v>480.55</c:v>
                </c:pt>
                <c:pt idx="17">
                  <c:v>478.47</c:v>
                </c:pt>
                <c:pt idx="18">
                  <c:v>476.5</c:v>
                </c:pt>
                <c:pt idx="19">
                  <c:v>476</c:v>
                </c:pt>
                <c:pt idx="20">
                  <c:v>476.23</c:v>
                </c:pt>
                <c:pt idx="21">
                  <c:v>476.3</c:v>
                </c:pt>
                <c:pt idx="22">
                  <c:v>477.08</c:v>
                </c:pt>
                <c:pt idx="23">
                  <c:v>478.24</c:v>
                </c:pt>
                <c:pt idx="24">
                  <c:v>479.21</c:v>
                </c:pt>
                <c:pt idx="25">
                  <c:v>478.74</c:v>
                </c:pt>
                <c:pt idx="26">
                  <c:v>489.01</c:v>
                </c:pt>
                <c:pt idx="27">
                  <c:v>488.66</c:v>
                </c:pt>
                <c:pt idx="28">
                  <c:v>484.12</c:v>
                </c:pt>
                <c:pt idx="29">
                  <c:v>481.27</c:v>
                </c:pt>
                <c:pt idx="30">
                  <c:v>484.65</c:v>
                </c:pt>
                <c:pt idx="31">
                  <c:v>485.49</c:v>
                </c:pt>
                <c:pt idx="32">
                  <c:v>486.69</c:v>
                </c:pt>
                <c:pt idx="33">
                  <c:v>491.74</c:v>
                </c:pt>
                <c:pt idx="34">
                  <c:v>499.62</c:v>
                </c:pt>
                <c:pt idx="35">
                  <c:v>518.91</c:v>
                </c:pt>
                <c:pt idx="36">
                  <c:v>521.20000000000005</c:v>
                </c:pt>
                <c:pt idx="37">
                  <c:v>523.54</c:v>
                </c:pt>
                <c:pt idx="38">
                  <c:v>527.66999999999996</c:v>
                </c:pt>
                <c:pt idx="39">
                  <c:v>525.62</c:v>
                </c:pt>
                <c:pt idx="40">
                  <c:v>521.35</c:v>
                </c:pt>
                <c:pt idx="41">
                  <c:v>513.09</c:v>
                </c:pt>
                <c:pt idx="42">
                  <c:v>490.87</c:v>
                </c:pt>
                <c:pt idx="43">
                  <c:v>491.73</c:v>
                </c:pt>
                <c:pt idx="44">
                  <c:v>488.12</c:v>
                </c:pt>
                <c:pt idx="45">
                  <c:v>479.25</c:v>
                </c:pt>
                <c:pt idx="46">
                  <c:v>477.66</c:v>
                </c:pt>
                <c:pt idx="47">
                  <c:v>485.14</c:v>
                </c:pt>
                <c:pt idx="48">
                  <c:v>481.99</c:v>
                </c:pt>
                <c:pt idx="49">
                  <c:v>480.24</c:v>
                </c:pt>
                <c:pt idx="50">
                  <c:v>496.96</c:v>
                </c:pt>
                <c:pt idx="51">
                  <c:v>470.99</c:v>
                </c:pt>
                <c:pt idx="52">
                  <c:v>456.54</c:v>
                </c:pt>
                <c:pt idx="53">
                  <c:v>422.69</c:v>
                </c:pt>
                <c:pt idx="54">
                  <c:v>411.03</c:v>
                </c:pt>
                <c:pt idx="55">
                  <c:v>405.75</c:v>
                </c:pt>
                <c:pt idx="56">
                  <c:v>409.15</c:v>
                </c:pt>
                <c:pt idx="57">
                  <c:v>402.73</c:v>
                </c:pt>
                <c:pt idx="58">
                  <c:v>395.38</c:v>
                </c:pt>
                <c:pt idx="59">
                  <c:v>394.54</c:v>
                </c:pt>
                <c:pt idx="60">
                  <c:v>395.89</c:v>
                </c:pt>
                <c:pt idx="61">
                  <c:v>393.45</c:v>
                </c:pt>
                <c:pt idx="62">
                  <c:v>388.43272727272699</c:v>
                </c:pt>
              </c:numCache>
            </c:numRef>
          </c:val>
          <c:smooth val="0"/>
          <c:extLst>
            <c:ext xmlns:c16="http://schemas.microsoft.com/office/drawing/2014/chart" uri="{C3380CC4-5D6E-409C-BE32-E72D297353CC}">
              <c16:uniqueId val="{00000001-2E02-409E-AEB4-0DD82A67E692}"/>
            </c:ext>
          </c:extLst>
        </c:ser>
        <c:dLbls>
          <c:showLegendKey val="0"/>
          <c:showVal val="0"/>
          <c:showCatName val="0"/>
          <c:showSerName val="0"/>
          <c:showPercent val="0"/>
          <c:showBubbleSize val="0"/>
        </c:dLbls>
        <c:marker val="1"/>
        <c:smooth val="0"/>
        <c:axId val="176032000"/>
        <c:axId val="176030464"/>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midCat"/>
      </c:valAx>
      <c:valAx>
        <c:axId val="176030464"/>
        <c:scaling>
          <c:orientation val="minMax"/>
          <c:min val="38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6032000"/>
        <c:crosses val="max"/>
        <c:crossBetween val="between"/>
      </c:valAx>
      <c:catAx>
        <c:axId val="176032000"/>
        <c:scaling>
          <c:orientation val="minMax"/>
        </c:scaling>
        <c:delete val="1"/>
        <c:axPos val="b"/>
        <c:numFmt formatCode="General" sourceLinked="1"/>
        <c:majorTickMark val="out"/>
        <c:minorTickMark val="none"/>
        <c:tickLblPos val="nextTo"/>
        <c:crossAx val="176030464"/>
        <c:crosses val="autoZero"/>
        <c:auto val="1"/>
        <c:lblAlgn val="ctr"/>
        <c:lblOffset val="100"/>
        <c:noMultiLvlLbl val="0"/>
      </c:catAx>
      <c:spPr>
        <a:noFill/>
        <a:ln>
          <a:noFill/>
        </a:ln>
        <a:effectLst/>
      </c:spPr>
    </c:plotArea>
    <c:legend>
      <c:legendPos val="b"/>
      <c:layout>
        <c:manualLayout>
          <c:xMode val="edge"/>
          <c:yMode val="edge"/>
          <c:x val="5.2159352564150954E-2"/>
          <c:y val="0.87008304878442866"/>
          <c:w val="0.9056316195769647"/>
          <c:h val="0.11658031460157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52294092072846721"/>
        </c:manualLayout>
      </c:layout>
      <c:lineChart>
        <c:grouping val="standard"/>
        <c:varyColors val="0"/>
        <c:ser>
          <c:idx val="0"/>
          <c:order val="0"/>
          <c:tx>
            <c:strRef>
              <c:f>Sheet1!$C$1</c:f>
              <c:strCache>
                <c:ptCount val="1"/>
                <c:pt idx="0">
                  <c:v>Դոլար</c:v>
                </c:pt>
              </c:strCache>
            </c:strRef>
          </c:tx>
          <c:spPr>
            <a:ln w="28575" cap="rnd">
              <a:solidFill>
                <a:schemeClr val="accent1"/>
              </a:solidFill>
              <a:round/>
            </a:ln>
            <a:effectLst/>
          </c:spPr>
          <c:marker>
            <c:symbol val="none"/>
          </c:marker>
          <c:cat>
            <c:multiLvlStrRef>
              <c:f>Sheet1!$A$2:$B$73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2018</c:v>
                  </c:pt>
                  <c:pt idx="12">
                    <c:v>2019</c:v>
                  </c:pt>
                  <c:pt idx="24">
                    <c:v>2020</c:v>
                  </c:pt>
                  <c:pt idx="36">
                    <c:v>2021</c:v>
                  </c:pt>
                  <c:pt idx="48">
                    <c:v>2022</c:v>
                  </c:pt>
                  <c:pt idx="60">
                    <c:v>2023</c:v>
                  </c:pt>
                </c:lvl>
              </c:multiLvlStrCache>
            </c:multiLvlStrRef>
          </c:cat>
          <c:val>
            <c:numRef>
              <c:f>Sheet1!$C$2:$C$64</c:f>
              <c:numCache>
                <c:formatCode>_(* #,##0_);_(* \(#,##0\);_(* "-"??_);_(@_)</c:formatCode>
                <c:ptCount val="63"/>
                <c:pt idx="0">
                  <c:v>482.4</c:v>
                </c:pt>
                <c:pt idx="1">
                  <c:v>481.37</c:v>
                </c:pt>
                <c:pt idx="2">
                  <c:v>480.41</c:v>
                </c:pt>
                <c:pt idx="3">
                  <c:v>481.35</c:v>
                </c:pt>
                <c:pt idx="4">
                  <c:v>484.09</c:v>
                </c:pt>
                <c:pt idx="5">
                  <c:v>482.62</c:v>
                </c:pt>
                <c:pt idx="6">
                  <c:v>481.43</c:v>
                </c:pt>
                <c:pt idx="7">
                  <c:v>482.43</c:v>
                </c:pt>
                <c:pt idx="8">
                  <c:v>483.82</c:v>
                </c:pt>
                <c:pt idx="9">
                  <c:v>484.93</c:v>
                </c:pt>
                <c:pt idx="10">
                  <c:v>486.33</c:v>
                </c:pt>
                <c:pt idx="11">
                  <c:v>484.67</c:v>
                </c:pt>
                <c:pt idx="12">
                  <c:v>485.79</c:v>
                </c:pt>
                <c:pt idx="13">
                  <c:v>488.41</c:v>
                </c:pt>
                <c:pt idx="14">
                  <c:v>487.48</c:v>
                </c:pt>
                <c:pt idx="15">
                  <c:v>484.29</c:v>
                </c:pt>
                <c:pt idx="16">
                  <c:v>480.55</c:v>
                </c:pt>
                <c:pt idx="17">
                  <c:v>478.47</c:v>
                </c:pt>
                <c:pt idx="18">
                  <c:v>476.5</c:v>
                </c:pt>
                <c:pt idx="19">
                  <c:v>476</c:v>
                </c:pt>
                <c:pt idx="20">
                  <c:v>476.23</c:v>
                </c:pt>
                <c:pt idx="21">
                  <c:v>476.3</c:v>
                </c:pt>
                <c:pt idx="22">
                  <c:v>477.08</c:v>
                </c:pt>
                <c:pt idx="23">
                  <c:v>478.24</c:v>
                </c:pt>
                <c:pt idx="24">
                  <c:v>479.21</c:v>
                </c:pt>
                <c:pt idx="25">
                  <c:v>478.74</c:v>
                </c:pt>
                <c:pt idx="26">
                  <c:v>489.01</c:v>
                </c:pt>
                <c:pt idx="27">
                  <c:v>488.66</c:v>
                </c:pt>
                <c:pt idx="28">
                  <c:v>484.12</c:v>
                </c:pt>
                <c:pt idx="29">
                  <c:v>481.27</c:v>
                </c:pt>
                <c:pt idx="30">
                  <c:v>484.65</c:v>
                </c:pt>
                <c:pt idx="31">
                  <c:v>485.49</c:v>
                </c:pt>
                <c:pt idx="32">
                  <c:v>486.69</c:v>
                </c:pt>
                <c:pt idx="33">
                  <c:v>491.74</c:v>
                </c:pt>
                <c:pt idx="34">
                  <c:v>499.62</c:v>
                </c:pt>
                <c:pt idx="35">
                  <c:v>518.91</c:v>
                </c:pt>
                <c:pt idx="36">
                  <c:v>521.20000000000005</c:v>
                </c:pt>
                <c:pt idx="37">
                  <c:v>523.54</c:v>
                </c:pt>
                <c:pt idx="38">
                  <c:v>527.66999999999996</c:v>
                </c:pt>
                <c:pt idx="39">
                  <c:v>525.62</c:v>
                </c:pt>
                <c:pt idx="40">
                  <c:v>521.35</c:v>
                </c:pt>
                <c:pt idx="41">
                  <c:v>513.09</c:v>
                </c:pt>
                <c:pt idx="42">
                  <c:v>490.87</c:v>
                </c:pt>
                <c:pt idx="43">
                  <c:v>491.73</c:v>
                </c:pt>
                <c:pt idx="44">
                  <c:v>488.12</c:v>
                </c:pt>
                <c:pt idx="45">
                  <c:v>479.25</c:v>
                </c:pt>
                <c:pt idx="46">
                  <c:v>477.66</c:v>
                </c:pt>
                <c:pt idx="47">
                  <c:v>485.14</c:v>
                </c:pt>
                <c:pt idx="48">
                  <c:v>481.99</c:v>
                </c:pt>
                <c:pt idx="49">
                  <c:v>480.24</c:v>
                </c:pt>
                <c:pt idx="50">
                  <c:v>496.96</c:v>
                </c:pt>
                <c:pt idx="51">
                  <c:v>470.99</c:v>
                </c:pt>
                <c:pt idx="52">
                  <c:v>456.54</c:v>
                </c:pt>
                <c:pt idx="53">
                  <c:v>422.69</c:v>
                </c:pt>
                <c:pt idx="54">
                  <c:v>411.03</c:v>
                </c:pt>
                <c:pt idx="55">
                  <c:v>405.75</c:v>
                </c:pt>
                <c:pt idx="56">
                  <c:v>409.15</c:v>
                </c:pt>
                <c:pt idx="57">
                  <c:v>402.73</c:v>
                </c:pt>
                <c:pt idx="58">
                  <c:v>395.38</c:v>
                </c:pt>
                <c:pt idx="59">
                  <c:v>394.54</c:v>
                </c:pt>
                <c:pt idx="60" formatCode="0.0">
                  <c:v>395.89</c:v>
                </c:pt>
                <c:pt idx="61" formatCode="0.0">
                  <c:v>393.45</c:v>
                </c:pt>
                <c:pt idx="62" formatCode="0.0">
                  <c:v>388.44</c:v>
                </c:pt>
              </c:numCache>
            </c:numRef>
          </c:val>
          <c:smooth val="0"/>
          <c:extLst>
            <c:ext xmlns:c16="http://schemas.microsoft.com/office/drawing/2014/chart" uri="{C3380CC4-5D6E-409C-BE32-E72D297353CC}">
              <c16:uniqueId val="{00000000-D2F1-4C39-863C-49D08E9ABC61}"/>
            </c:ext>
          </c:extLst>
        </c:ser>
        <c:ser>
          <c:idx val="1"/>
          <c:order val="1"/>
          <c:tx>
            <c:strRef>
              <c:f>Sheet1!$D$1</c:f>
              <c:strCache>
                <c:ptCount val="1"/>
                <c:pt idx="0">
                  <c:v>Եվրո</c:v>
                </c:pt>
              </c:strCache>
            </c:strRef>
          </c:tx>
          <c:spPr>
            <a:ln w="28575" cap="rnd">
              <a:solidFill>
                <a:srgbClr val="ED7D31">
                  <a:lumMod val="75000"/>
                </a:srgbClr>
              </a:solidFill>
              <a:round/>
            </a:ln>
            <a:effectLst/>
          </c:spPr>
          <c:marker>
            <c:symbol val="none"/>
          </c:marker>
          <c:cat>
            <c:multiLvlStrRef>
              <c:f>Sheet1!$A$2:$B$73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2018</c:v>
                  </c:pt>
                  <c:pt idx="12">
                    <c:v>2019</c:v>
                  </c:pt>
                  <c:pt idx="24">
                    <c:v>2020</c:v>
                  </c:pt>
                  <c:pt idx="36">
                    <c:v>2021</c:v>
                  </c:pt>
                  <c:pt idx="48">
                    <c:v>2022</c:v>
                  </c:pt>
                  <c:pt idx="60">
                    <c:v>2023</c:v>
                  </c:pt>
                </c:lvl>
              </c:multiLvlStrCache>
            </c:multiLvlStrRef>
          </c:cat>
          <c:val>
            <c:numRef>
              <c:f>Sheet1!$D$2:$D$64</c:f>
              <c:numCache>
                <c:formatCode>_(* #,##0_);_(* \(#,##0\);_(* "-"??_);_(@_)</c:formatCode>
                <c:ptCount val="63"/>
                <c:pt idx="0">
                  <c:v>589.97</c:v>
                </c:pt>
                <c:pt idx="1">
                  <c:v>594.85</c:v>
                </c:pt>
                <c:pt idx="2">
                  <c:v>592.32000000000005</c:v>
                </c:pt>
                <c:pt idx="3">
                  <c:v>591.42999999999995</c:v>
                </c:pt>
                <c:pt idx="4">
                  <c:v>572.66</c:v>
                </c:pt>
                <c:pt idx="5">
                  <c:v>563.79999999999995</c:v>
                </c:pt>
                <c:pt idx="6">
                  <c:v>562.37</c:v>
                </c:pt>
                <c:pt idx="7">
                  <c:v>556.97</c:v>
                </c:pt>
                <c:pt idx="8">
                  <c:v>563.74</c:v>
                </c:pt>
                <c:pt idx="9">
                  <c:v>556.39</c:v>
                </c:pt>
                <c:pt idx="10">
                  <c:v>552.69000000000005</c:v>
                </c:pt>
                <c:pt idx="11">
                  <c:v>551.59</c:v>
                </c:pt>
                <c:pt idx="12">
                  <c:v>554.84</c:v>
                </c:pt>
                <c:pt idx="13">
                  <c:v>554.27</c:v>
                </c:pt>
                <c:pt idx="14">
                  <c:v>551.41</c:v>
                </c:pt>
                <c:pt idx="15">
                  <c:v>544.42999999999995</c:v>
                </c:pt>
                <c:pt idx="16">
                  <c:v>537.45000000000005</c:v>
                </c:pt>
                <c:pt idx="17">
                  <c:v>540.17999999999995</c:v>
                </c:pt>
                <c:pt idx="18">
                  <c:v>534.54</c:v>
                </c:pt>
                <c:pt idx="19">
                  <c:v>529.5</c:v>
                </c:pt>
                <c:pt idx="20">
                  <c:v>524.36</c:v>
                </c:pt>
                <c:pt idx="21">
                  <c:v>526.39</c:v>
                </c:pt>
                <c:pt idx="22">
                  <c:v>527.4</c:v>
                </c:pt>
                <c:pt idx="23">
                  <c:v>531.17999999999995</c:v>
                </c:pt>
                <c:pt idx="24">
                  <c:v>531.41</c:v>
                </c:pt>
                <c:pt idx="25">
                  <c:v>522.57000000000005</c:v>
                </c:pt>
                <c:pt idx="26">
                  <c:v>541.09</c:v>
                </c:pt>
                <c:pt idx="27">
                  <c:v>531.36</c:v>
                </c:pt>
                <c:pt idx="28">
                  <c:v>526.54</c:v>
                </c:pt>
                <c:pt idx="29">
                  <c:v>541.78</c:v>
                </c:pt>
                <c:pt idx="30">
                  <c:v>555.25</c:v>
                </c:pt>
                <c:pt idx="31">
                  <c:v>574.41</c:v>
                </c:pt>
                <c:pt idx="32">
                  <c:v>573.95000000000005</c:v>
                </c:pt>
                <c:pt idx="33">
                  <c:v>578.66999999999996</c:v>
                </c:pt>
                <c:pt idx="34">
                  <c:v>591.30999999999995</c:v>
                </c:pt>
                <c:pt idx="35">
                  <c:v>631.22</c:v>
                </c:pt>
                <c:pt idx="36">
                  <c:v>633.02</c:v>
                </c:pt>
                <c:pt idx="37">
                  <c:v>633.41999999999996</c:v>
                </c:pt>
                <c:pt idx="38">
                  <c:v>628.03</c:v>
                </c:pt>
                <c:pt idx="39">
                  <c:v>628.44000000000005</c:v>
                </c:pt>
                <c:pt idx="40">
                  <c:v>633.21</c:v>
                </c:pt>
                <c:pt idx="41">
                  <c:v>618.41999999999996</c:v>
                </c:pt>
                <c:pt idx="42">
                  <c:v>580.29</c:v>
                </c:pt>
                <c:pt idx="43">
                  <c:v>578.80999999999995</c:v>
                </c:pt>
                <c:pt idx="44">
                  <c:v>574.82000000000005</c:v>
                </c:pt>
                <c:pt idx="45">
                  <c:v>555.86</c:v>
                </c:pt>
                <c:pt idx="46">
                  <c:v>545.17999999999995</c:v>
                </c:pt>
                <c:pt idx="47">
                  <c:v>548.21</c:v>
                </c:pt>
                <c:pt idx="48">
                  <c:v>546.25</c:v>
                </c:pt>
                <c:pt idx="49">
                  <c:v>544.47</c:v>
                </c:pt>
                <c:pt idx="50">
                  <c:v>547.79999999999995</c:v>
                </c:pt>
                <c:pt idx="51">
                  <c:v>509.88</c:v>
                </c:pt>
                <c:pt idx="52">
                  <c:v>482.99</c:v>
                </c:pt>
                <c:pt idx="53">
                  <c:v>446.99</c:v>
                </c:pt>
                <c:pt idx="54">
                  <c:v>418.36</c:v>
                </c:pt>
                <c:pt idx="55">
                  <c:v>410.96</c:v>
                </c:pt>
                <c:pt idx="56">
                  <c:v>405.41</c:v>
                </c:pt>
                <c:pt idx="57">
                  <c:v>395.78</c:v>
                </c:pt>
                <c:pt idx="58">
                  <c:v>403.14</c:v>
                </c:pt>
                <c:pt idx="59">
                  <c:v>417.71</c:v>
                </c:pt>
                <c:pt idx="60" formatCode="0.0">
                  <c:v>427.28</c:v>
                </c:pt>
                <c:pt idx="61" formatCode="0.0">
                  <c:v>421.68</c:v>
                </c:pt>
                <c:pt idx="62" formatCode="0.0">
                  <c:v>416.08</c:v>
                </c:pt>
              </c:numCache>
            </c:numRef>
          </c:val>
          <c:smooth val="0"/>
          <c:extLst>
            <c:ext xmlns:c16="http://schemas.microsoft.com/office/drawing/2014/chart" uri="{C3380CC4-5D6E-409C-BE32-E72D297353CC}">
              <c16:uniqueId val="{00000001-D2F1-4C39-863C-49D08E9ABC61}"/>
            </c:ext>
          </c:extLst>
        </c:ser>
        <c:dLbls>
          <c:showLegendKey val="0"/>
          <c:showVal val="0"/>
          <c:showCatName val="0"/>
          <c:showSerName val="0"/>
          <c:showPercent val="0"/>
          <c:showBubbleSize val="0"/>
        </c:dLbls>
        <c:marker val="1"/>
        <c:smooth val="0"/>
        <c:axId val="175953408"/>
        <c:axId val="175954944"/>
      </c:lineChart>
      <c:lineChart>
        <c:grouping val="standard"/>
        <c:varyColors val="0"/>
        <c:ser>
          <c:idx val="2"/>
          <c:order val="2"/>
          <c:tx>
            <c:strRef>
              <c:f>Sheet1!$E$1</c:f>
              <c:strCache>
                <c:ptCount val="1"/>
                <c:pt idx="0">
                  <c:v>Ռուբլի, աջ առանցք</c:v>
                </c:pt>
              </c:strCache>
            </c:strRef>
          </c:tx>
          <c:spPr>
            <a:ln w="28575" cap="rnd">
              <a:solidFill>
                <a:schemeClr val="accent5"/>
              </a:solidFill>
              <a:round/>
            </a:ln>
            <a:effectLst/>
          </c:spPr>
          <c:marker>
            <c:symbol val="none"/>
          </c:marker>
          <c:val>
            <c:numRef>
              <c:f>Sheet1!$E$2:$E$67</c:f>
              <c:numCache>
                <c:formatCode>_(* #,##0_);_(* \(#,##0\);_(* "-"??_);_(@_)</c:formatCode>
                <c:ptCount val="66"/>
                <c:pt idx="0">
                  <c:v>8.5399999999999991</c:v>
                </c:pt>
                <c:pt idx="1">
                  <c:v>8.4700000000000006</c:v>
                </c:pt>
                <c:pt idx="2">
                  <c:v>8.4</c:v>
                </c:pt>
                <c:pt idx="3">
                  <c:v>7.93</c:v>
                </c:pt>
                <c:pt idx="4">
                  <c:v>7.76</c:v>
                </c:pt>
                <c:pt idx="5">
                  <c:v>7.69</c:v>
                </c:pt>
                <c:pt idx="6">
                  <c:v>7.66</c:v>
                </c:pt>
                <c:pt idx="7">
                  <c:v>7.27</c:v>
                </c:pt>
                <c:pt idx="8">
                  <c:v>7.15</c:v>
                </c:pt>
                <c:pt idx="9">
                  <c:v>7.37</c:v>
                </c:pt>
                <c:pt idx="10">
                  <c:v>7.33</c:v>
                </c:pt>
                <c:pt idx="11">
                  <c:v>7.2</c:v>
                </c:pt>
                <c:pt idx="12">
                  <c:v>7.3</c:v>
                </c:pt>
                <c:pt idx="13">
                  <c:v>7.42</c:v>
                </c:pt>
                <c:pt idx="14">
                  <c:v>7.49</c:v>
                </c:pt>
                <c:pt idx="15">
                  <c:v>7.5</c:v>
                </c:pt>
                <c:pt idx="16">
                  <c:v>7.4</c:v>
                </c:pt>
                <c:pt idx="17">
                  <c:v>7.46</c:v>
                </c:pt>
                <c:pt idx="18">
                  <c:v>7.54</c:v>
                </c:pt>
                <c:pt idx="19">
                  <c:v>7.24</c:v>
                </c:pt>
                <c:pt idx="20">
                  <c:v>7.34</c:v>
                </c:pt>
                <c:pt idx="21">
                  <c:v>7.41</c:v>
                </c:pt>
                <c:pt idx="22">
                  <c:v>7.47</c:v>
                </c:pt>
                <c:pt idx="23">
                  <c:v>7.61</c:v>
                </c:pt>
                <c:pt idx="24">
                  <c:v>7.75</c:v>
                </c:pt>
                <c:pt idx="25">
                  <c:v>7.47</c:v>
                </c:pt>
                <c:pt idx="26">
                  <c:v>6.61</c:v>
                </c:pt>
                <c:pt idx="27">
                  <c:v>6.51</c:v>
                </c:pt>
                <c:pt idx="28">
                  <c:v>6.65</c:v>
                </c:pt>
                <c:pt idx="29">
                  <c:v>6.95</c:v>
                </c:pt>
                <c:pt idx="30">
                  <c:v>6.78</c:v>
                </c:pt>
                <c:pt idx="31">
                  <c:v>6.58</c:v>
                </c:pt>
                <c:pt idx="32">
                  <c:v>6.41</c:v>
                </c:pt>
                <c:pt idx="33">
                  <c:v>6.33</c:v>
                </c:pt>
                <c:pt idx="34">
                  <c:v>6.5</c:v>
                </c:pt>
                <c:pt idx="35">
                  <c:v>7</c:v>
                </c:pt>
                <c:pt idx="36">
                  <c:v>7.01</c:v>
                </c:pt>
                <c:pt idx="37">
                  <c:v>7.04</c:v>
                </c:pt>
                <c:pt idx="38">
                  <c:v>7.09</c:v>
                </c:pt>
                <c:pt idx="39">
                  <c:v>6.91</c:v>
                </c:pt>
                <c:pt idx="40">
                  <c:v>7.04</c:v>
                </c:pt>
                <c:pt idx="41">
                  <c:v>7.07</c:v>
                </c:pt>
                <c:pt idx="42">
                  <c:v>6.64</c:v>
                </c:pt>
                <c:pt idx="43">
                  <c:v>6.68</c:v>
                </c:pt>
                <c:pt idx="44">
                  <c:v>6.7</c:v>
                </c:pt>
                <c:pt idx="45">
                  <c:v>6.71</c:v>
                </c:pt>
                <c:pt idx="46">
                  <c:v>6.56</c:v>
                </c:pt>
                <c:pt idx="47">
                  <c:v>6.58</c:v>
                </c:pt>
                <c:pt idx="48">
                  <c:v>6.32</c:v>
                </c:pt>
                <c:pt idx="49">
                  <c:v>6.16</c:v>
                </c:pt>
                <c:pt idx="50">
                  <c:v>4.83</c:v>
                </c:pt>
                <c:pt idx="51">
                  <c:v>6.1</c:v>
                </c:pt>
                <c:pt idx="52">
                  <c:v>7.17</c:v>
                </c:pt>
                <c:pt idx="53">
                  <c:v>7.48</c:v>
                </c:pt>
                <c:pt idx="54">
                  <c:v>7.04</c:v>
                </c:pt>
                <c:pt idx="55">
                  <c:v>6.72</c:v>
                </c:pt>
                <c:pt idx="56">
                  <c:v>6.9</c:v>
                </c:pt>
                <c:pt idx="57">
                  <c:v>6.56</c:v>
                </c:pt>
                <c:pt idx="58">
                  <c:v>6.5</c:v>
                </c:pt>
                <c:pt idx="59">
                  <c:v>5.99</c:v>
                </c:pt>
                <c:pt idx="60" formatCode="0.0">
                  <c:v>5.71</c:v>
                </c:pt>
                <c:pt idx="61" formatCode="0.0">
                  <c:v>5.37</c:v>
                </c:pt>
                <c:pt idx="62" formatCode="0.0">
                  <c:v>5.0999999999999996</c:v>
                </c:pt>
                <c:pt idx="63" formatCode="0.0">
                  <c:v>4.78</c:v>
                </c:pt>
                <c:pt idx="64" formatCode="0.0">
                  <c:v>4.88</c:v>
                </c:pt>
                <c:pt idx="65" formatCode="0.0">
                  <c:v>4.63</c:v>
                </c:pt>
              </c:numCache>
            </c:numRef>
          </c:val>
          <c:smooth val="0"/>
          <c:extLst>
            <c:ext xmlns:c16="http://schemas.microsoft.com/office/drawing/2014/chart" uri="{C3380CC4-5D6E-409C-BE32-E72D297353CC}">
              <c16:uniqueId val="{00000002-D2F1-4C39-863C-49D08E9ABC61}"/>
            </c:ext>
          </c:extLst>
        </c:ser>
        <c:dLbls>
          <c:showLegendKey val="0"/>
          <c:showVal val="0"/>
          <c:showCatName val="0"/>
          <c:showSerName val="0"/>
          <c:showPercent val="0"/>
          <c:showBubbleSize val="0"/>
        </c:dLbls>
        <c:marker val="1"/>
        <c:smooth val="0"/>
        <c:axId val="572781496"/>
        <c:axId val="572775736"/>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35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between"/>
      </c:valAx>
      <c:valAx>
        <c:axId val="572775736"/>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72781496"/>
        <c:crosses val="max"/>
        <c:crossBetween val="between"/>
      </c:valAx>
      <c:catAx>
        <c:axId val="572781496"/>
        <c:scaling>
          <c:orientation val="minMax"/>
        </c:scaling>
        <c:delete val="1"/>
        <c:axPos val="b"/>
        <c:majorTickMark val="out"/>
        <c:minorTickMark val="none"/>
        <c:tickLblPos val="nextTo"/>
        <c:crossAx val="572775736"/>
        <c:crosses val="autoZero"/>
        <c:auto val="1"/>
        <c:lblAlgn val="ctr"/>
        <c:lblOffset val="100"/>
        <c:noMultiLvlLbl val="0"/>
      </c:catAx>
      <c:spPr>
        <a:noFill/>
        <a:ln>
          <a:noFill/>
        </a:ln>
        <a:effectLst/>
      </c:spPr>
    </c:plotArea>
    <c:legend>
      <c:legendPos val="b"/>
      <c:layout>
        <c:manualLayout>
          <c:xMode val="edge"/>
          <c:yMode val="edge"/>
          <c:x val="5.2159352564150954E-2"/>
          <c:y val="0.87008304878442866"/>
          <c:w val="0.9"/>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52294092072846721"/>
        </c:manualLayout>
      </c:layout>
      <c:lineChart>
        <c:grouping val="standard"/>
        <c:varyColors val="0"/>
        <c:ser>
          <c:idx val="0"/>
          <c:order val="0"/>
          <c:tx>
            <c:strRef>
              <c:f>Sheet1!$C$1</c:f>
              <c:strCache>
                <c:ptCount val="1"/>
                <c:pt idx="0">
                  <c:v>Իրական</c:v>
                </c:pt>
              </c:strCache>
            </c:strRef>
          </c:tx>
          <c:spPr>
            <a:ln w="28575" cap="rnd">
              <a:solidFill>
                <a:schemeClr val="accent1"/>
              </a:solidFill>
              <a:round/>
            </a:ln>
            <a:effectLst/>
          </c:spPr>
          <c:marker>
            <c:symbol val="none"/>
          </c:marker>
          <c:cat>
            <c:multiLvlStrRef>
              <c:f>Sheet1!$A$2:$B$61</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Sheet1!$C$2:$C$52</c:f>
              <c:numCache>
                <c:formatCode>0</c:formatCode>
                <c:ptCount val="51"/>
                <c:pt idx="0">
                  <c:v>100</c:v>
                </c:pt>
                <c:pt idx="1">
                  <c:v>99.24558587479936</c:v>
                </c:pt>
                <c:pt idx="2">
                  <c:v>99.125200642054594</c:v>
                </c:pt>
                <c:pt idx="3">
                  <c:v>99.526484751203881</c:v>
                </c:pt>
                <c:pt idx="4">
                  <c:v>100.60192616372393</c:v>
                </c:pt>
                <c:pt idx="5">
                  <c:v>97.833065810593922</c:v>
                </c:pt>
                <c:pt idx="6">
                  <c:v>95.337078651685417</c:v>
                </c:pt>
                <c:pt idx="7">
                  <c:v>96.17174959871592</c:v>
                </c:pt>
                <c:pt idx="8">
                  <c:v>96.316211878009682</c:v>
                </c:pt>
                <c:pt idx="9">
                  <c:v>95.955056179775326</c:v>
                </c:pt>
                <c:pt idx="10">
                  <c:v>96.428571428571473</c:v>
                </c:pt>
                <c:pt idx="11">
                  <c:v>97.062600321027318</c:v>
                </c:pt>
                <c:pt idx="12">
                  <c:v>99.446227929374032</c:v>
                </c:pt>
                <c:pt idx="13">
                  <c:v>101.24398073836281</c:v>
                </c:pt>
                <c:pt idx="14">
                  <c:v>104.0690208667737</c:v>
                </c:pt>
                <c:pt idx="15">
                  <c:v>107.20706260032107</c:v>
                </c:pt>
                <c:pt idx="16">
                  <c:v>107.23113964687003</c:v>
                </c:pt>
                <c:pt idx="17">
                  <c:v>103.6837881219904</c:v>
                </c:pt>
                <c:pt idx="18">
                  <c:v>101.67736757624401</c:v>
                </c:pt>
                <c:pt idx="19">
                  <c:v>101.19582664526487</c:v>
                </c:pt>
                <c:pt idx="20">
                  <c:v>102.04654895666134</c:v>
                </c:pt>
                <c:pt idx="21">
                  <c:v>102.25521669341896</c:v>
                </c:pt>
                <c:pt idx="22">
                  <c:v>100.36115569823437</c:v>
                </c:pt>
                <c:pt idx="23">
                  <c:v>96.84590690208671</c:v>
                </c:pt>
                <c:pt idx="24">
                  <c:v>107.67255216693424</c:v>
                </c:pt>
                <c:pt idx="25">
                  <c:v>107.38362760834677</c:v>
                </c:pt>
                <c:pt idx="26">
                  <c:v>108.13001605136442</c:v>
                </c:pt>
                <c:pt idx="27">
                  <c:v>110.07223113964693</c:v>
                </c:pt>
                <c:pt idx="28">
                  <c:v>107.92937399678978</c:v>
                </c:pt>
                <c:pt idx="29">
                  <c:v>108.12199036918145</c:v>
                </c:pt>
                <c:pt idx="30">
                  <c:v>113.53130016051372</c:v>
                </c:pt>
                <c:pt idx="31">
                  <c:v>113.56340288924565</c:v>
                </c:pt>
                <c:pt idx="32">
                  <c:v>113.45906902086685</c:v>
                </c:pt>
                <c:pt idx="33">
                  <c:v>115.27287319422157</c:v>
                </c:pt>
                <c:pt idx="34">
                  <c:v>118.56340288924564</c:v>
                </c:pt>
                <c:pt idx="35">
                  <c:v>120.01605136436601</c:v>
                </c:pt>
                <c:pt idx="36">
                  <c:v>137.43178170144469</c:v>
                </c:pt>
                <c:pt idx="37">
                  <c:v>136.66934189406103</c:v>
                </c:pt>
                <c:pt idx="38">
                  <c:v>143.56340288924565</c:v>
                </c:pt>
                <c:pt idx="39">
                  <c:v>141.72552166934196</c:v>
                </c:pt>
                <c:pt idx="40">
                  <c:v>140.52166934189412</c:v>
                </c:pt>
                <c:pt idx="41">
                  <c:v>146.23595505617985</c:v>
                </c:pt>
                <c:pt idx="42">
                  <c:v>150.55377207062605</c:v>
                </c:pt>
                <c:pt idx="43">
                  <c:v>154.49438202247197</c:v>
                </c:pt>
                <c:pt idx="44">
                  <c:v>155.12841091492783</c:v>
                </c:pt>
                <c:pt idx="45">
                  <c:v>159.64686998394868</c:v>
                </c:pt>
                <c:pt idx="46">
                  <c:v>162.60834670947037</c:v>
                </c:pt>
                <c:pt idx="47">
                  <c:v>165.93900481540933</c:v>
                </c:pt>
                <c:pt idx="48">
                  <c:v>183.02568218298561</c:v>
                </c:pt>
                <c:pt idx="49">
                  <c:v>188.73194221508834</c:v>
                </c:pt>
                <c:pt idx="50">
                  <c:v>192.25521669341902</c:v>
                </c:pt>
              </c:numCache>
            </c:numRef>
          </c:val>
          <c:smooth val="0"/>
          <c:extLst>
            <c:ext xmlns:c16="http://schemas.microsoft.com/office/drawing/2014/chart" uri="{C3380CC4-5D6E-409C-BE32-E72D297353CC}">
              <c16:uniqueId val="{00000000-AC36-48B4-BB4B-C1AE85C03937}"/>
            </c:ext>
          </c:extLst>
        </c:ser>
        <c:ser>
          <c:idx val="1"/>
          <c:order val="1"/>
          <c:tx>
            <c:strRef>
              <c:f>Sheet1!$D$1</c:f>
              <c:strCache>
                <c:ptCount val="1"/>
                <c:pt idx="0">
                  <c:v>Անվանական</c:v>
                </c:pt>
              </c:strCache>
            </c:strRef>
          </c:tx>
          <c:spPr>
            <a:ln w="28575" cap="rnd">
              <a:solidFill>
                <a:srgbClr val="ED7D31">
                  <a:lumMod val="75000"/>
                </a:srgbClr>
              </a:solidFill>
              <a:round/>
            </a:ln>
            <a:effectLst/>
          </c:spPr>
          <c:marker>
            <c:symbol val="none"/>
          </c:marker>
          <c:cat>
            <c:multiLvlStrRef>
              <c:f>Sheet1!$A$2:$B$61</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Sheet1!$D$2:$D$52</c:f>
              <c:numCache>
                <c:formatCode>0</c:formatCode>
                <c:ptCount val="51"/>
                <c:pt idx="0">
                  <c:v>100</c:v>
                </c:pt>
                <c:pt idx="1">
                  <c:v>102.9882303192614</c:v>
                </c:pt>
                <c:pt idx="2">
                  <c:v>103.46042709140885</c:v>
                </c:pt>
                <c:pt idx="3">
                  <c:v>104.63739516526886</c:v>
                </c:pt>
                <c:pt idx="4">
                  <c:v>106.5543731059271</c:v>
                </c:pt>
                <c:pt idx="5">
                  <c:v>105.64521812671785</c:v>
                </c:pt>
                <c:pt idx="6">
                  <c:v>105.08844879836491</c:v>
                </c:pt>
                <c:pt idx="7">
                  <c:v>106.46275283670447</c:v>
                </c:pt>
                <c:pt idx="8">
                  <c:v>106.61780252308124</c:v>
                </c:pt>
                <c:pt idx="9">
                  <c:v>106.1737966030023</c:v>
                </c:pt>
                <c:pt idx="10">
                  <c:v>105.83550637818024</c:v>
                </c:pt>
                <c:pt idx="11">
                  <c:v>105.6593135527521</c:v>
                </c:pt>
                <c:pt idx="12">
                  <c:v>102.96708718021</c:v>
                </c:pt>
                <c:pt idx="13">
                  <c:v>105.3069279018958</c:v>
                </c:pt>
                <c:pt idx="14">
                  <c:v>107.89343857918104</c:v>
                </c:pt>
                <c:pt idx="15">
                  <c:v>110.47994925646624</c:v>
                </c:pt>
                <c:pt idx="16">
                  <c:v>110.81119176827116</c:v>
                </c:pt>
                <c:pt idx="17">
                  <c:v>109.03516808795544</c:v>
                </c:pt>
                <c:pt idx="18">
                  <c:v>109.56374656423989</c:v>
                </c:pt>
                <c:pt idx="19">
                  <c:v>109.56374656423989</c:v>
                </c:pt>
                <c:pt idx="20">
                  <c:v>110.99443230671646</c:v>
                </c:pt>
                <c:pt idx="21">
                  <c:v>111.43139051377828</c:v>
                </c:pt>
                <c:pt idx="22">
                  <c:v>108.44316019451688</c:v>
                </c:pt>
                <c:pt idx="23">
                  <c:v>101.83945309746987</c:v>
                </c:pt>
                <c:pt idx="24">
                  <c:v>113.19331876805977</c:v>
                </c:pt>
                <c:pt idx="25">
                  <c:v>112.97483966452887</c:v>
                </c:pt>
                <c:pt idx="26">
                  <c:v>113.40475015857356</c:v>
                </c:pt>
                <c:pt idx="27">
                  <c:v>114.67333850165623</c:v>
                </c:pt>
                <c:pt idx="28">
                  <c:v>113.39065473253929</c:v>
                </c:pt>
                <c:pt idx="29">
                  <c:v>115.14553527380366</c:v>
                </c:pt>
                <c:pt idx="30">
                  <c:v>122.12277116075835</c:v>
                </c:pt>
                <c:pt idx="31">
                  <c:v>122.24258228204948</c:v>
                </c:pt>
                <c:pt idx="32">
                  <c:v>123.01078300091622</c:v>
                </c:pt>
                <c:pt idx="33">
                  <c:v>125.54091197406444</c:v>
                </c:pt>
                <c:pt idx="34">
                  <c:v>128.06399323419555</c:v>
                </c:pt>
                <c:pt idx="35">
                  <c:v>128.93790964831913</c:v>
                </c:pt>
                <c:pt idx="36">
                  <c:v>148.29092959334699</c:v>
                </c:pt>
                <c:pt idx="37">
                  <c:v>149.00979632109383</c:v>
                </c:pt>
                <c:pt idx="38">
                  <c:v>159.01754880541264</c:v>
                </c:pt>
                <c:pt idx="39">
                  <c:v>155.61350341814082</c:v>
                </c:pt>
                <c:pt idx="40">
                  <c:v>155.21883148918178</c:v>
                </c:pt>
                <c:pt idx="41">
                  <c:v>162.87264782578055</c:v>
                </c:pt>
                <c:pt idx="42">
                  <c:v>170.70970470082457</c:v>
                </c:pt>
                <c:pt idx="43">
                  <c:v>175.42462470928183</c:v>
                </c:pt>
                <c:pt idx="44">
                  <c:v>176.3126365494397</c:v>
                </c:pt>
                <c:pt idx="45">
                  <c:v>182.36662203115091</c:v>
                </c:pt>
                <c:pt idx="46">
                  <c:v>184.32588624991197</c:v>
                </c:pt>
                <c:pt idx="47">
                  <c:v>186.6516315455635</c:v>
                </c:pt>
                <c:pt idx="48">
                  <c:v>206.67418422721832</c:v>
                </c:pt>
                <c:pt idx="49">
                  <c:v>213.91923320882375</c:v>
                </c:pt>
                <c:pt idx="50">
                  <c:v>220.30446120233989</c:v>
                </c:pt>
              </c:numCache>
            </c:numRef>
          </c:val>
          <c:smooth val="0"/>
          <c:extLst>
            <c:ext xmlns:c16="http://schemas.microsoft.com/office/drawing/2014/chart" uri="{C3380CC4-5D6E-409C-BE32-E72D297353CC}">
              <c16:uniqueId val="{00000001-AC36-48B4-BB4B-C1AE85C03937}"/>
            </c:ext>
          </c:extLst>
        </c:ser>
        <c:dLbls>
          <c:showLegendKey val="0"/>
          <c:showVal val="0"/>
          <c:showCatName val="0"/>
          <c:showSerName val="0"/>
          <c:showPercent val="0"/>
          <c:showBubbleSize val="0"/>
        </c:dLbls>
        <c:smooth val="0"/>
        <c:axId val="175953408"/>
        <c:axId val="175954944"/>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90"/>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max"/>
        <c:crossBetween val="between"/>
      </c:valAx>
      <c:spPr>
        <a:noFill/>
        <a:ln>
          <a:noFill/>
        </a:ln>
        <a:effectLst/>
      </c:spPr>
    </c:plotArea>
    <c:legend>
      <c:legendPos val="b"/>
      <c:layout>
        <c:manualLayout>
          <c:xMode val="edge"/>
          <c:yMode val="edge"/>
          <c:x val="5.2159352564150954E-2"/>
          <c:y val="0.87008304878442866"/>
          <c:w val="0.9056316195769647"/>
          <c:h val="0.11658031460157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Վարկերի</a:t>
            </a:r>
            <a:r>
              <a:rPr lang="hy-AM" b="0"/>
              <a:t> </a:t>
            </a:r>
            <a:r>
              <a:rPr lang="en-US" b="0"/>
              <a:t>ծավալների աճ</a:t>
            </a:r>
            <a:r>
              <a:rPr lang="hy-AM" b="0"/>
              <a:t> </a:t>
            </a:r>
            <a:r>
              <a:rPr lang="ru-RU" b="0"/>
              <a:t>(</a:t>
            </a:r>
            <a:r>
              <a:rPr lang="hy-AM" b="0"/>
              <a:t>ռեզիդենտների</a:t>
            </a:r>
            <a:r>
              <a:rPr lang="ru-RU" b="0"/>
              <a:t>)</a:t>
            </a:r>
            <a:r>
              <a:rPr lang="en-US" b="0"/>
              <a:t>, 2022</a:t>
            </a:r>
            <a:r>
              <a:rPr lang="hy-AM" b="0"/>
              <a:t>թ․-</a:t>
            </a:r>
            <a:r>
              <a:rPr lang="en-US" b="0"/>
              <a:t>20</a:t>
            </a:r>
            <a:r>
              <a:rPr lang="hy-AM" b="0"/>
              <a:t>2</a:t>
            </a:r>
            <a:r>
              <a:rPr lang="en-US" b="0"/>
              <a:t>3թ</a:t>
            </a:r>
            <a:r>
              <a:rPr lang="hy-AM" b="0"/>
              <a:t>․ հունիս</a:t>
            </a:r>
            <a:endParaRPr lang="en-US" b="0"/>
          </a:p>
        </c:rich>
      </c:tx>
      <c:layout>
        <c:manualLayout>
          <c:xMode val="edge"/>
          <c:yMode val="edge"/>
          <c:x val="0.14779301412388723"/>
          <c:y val="2.4446944131983504E-3"/>
        </c:manualLayout>
      </c:layout>
      <c:overlay val="0"/>
    </c:title>
    <c:autoTitleDeleted val="0"/>
    <c:plotArea>
      <c:layout>
        <c:manualLayout>
          <c:layoutTarget val="inner"/>
          <c:xMode val="edge"/>
          <c:yMode val="edge"/>
          <c:x val="0.13587542745146414"/>
          <c:y val="0.20323084614423198"/>
          <c:w val="0.85020387464621749"/>
          <c:h val="0.49709304548851913"/>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AB67-42E0-A2EF-0AC9A389CCFE}"/>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AB67-42E0-A2EF-0AC9A389CCFE}"/>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Ref>
          </c:val>
          <c:smooth val="0"/>
          <c:extLst>
            <c:ext xmlns:c16="http://schemas.microsoft.com/office/drawing/2014/chart" uri="{C3380CC4-5D6E-409C-BE32-E72D297353CC}">
              <c16:uniqueId val="{00000002-AB67-42E0-A2EF-0AC9A389CCFE}"/>
            </c:ext>
          </c:extLst>
        </c:ser>
        <c:ser>
          <c:idx val="3"/>
          <c:order val="3"/>
          <c:tx>
            <c:strRef>
              <c:f>Sheet1!$E$1</c:f>
              <c:strCache>
                <c:ptCount val="1"/>
                <c:pt idx="0">
                  <c:v>2022</c:v>
                </c:pt>
              </c:strCache>
            </c:strRef>
          </c:tx>
          <c:spPr>
            <a:ln>
              <a:solidFill>
                <a:srgbClr val="5B9BD5"/>
              </a:solidFill>
            </a:ln>
          </c:spPr>
          <c:marker>
            <c:symbol val="circle"/>
            <c:size val="5"/>
            <c:spPr>
              <a:solidFill>
                <a:srgbClr val="5B9BD5"/>
              </a:solidFill>
              <a:ln>
                <a:noFill/>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-1.1901198543983469</c:v>
                </c:pt>
                <c:pt idx="1">
                  <c:v>-0.15949466952658042</c:v>
                </c:pt>
                <c:pt idx="2">
                  <c:v>-0.41329430125270505</c:v>
                </c:pt>
                <c:pt idx="3">
                  <c:v>-1.5195504747755422</c:v>
                </c:pt>
                <c:pt idx="4">
                  <c:v>1.677357347216784</c:v>
                </c:pt>
                <c:pt idx="5">
                  <c:v>1.9391553925500915</c:v>
                </c:pt>
                <c:pt idx="6">
                  <c:v>3.3262968194340345</c:v>
                </c:pt>
                <c:pt idx="7">
                  <c:v>3.2736290383981412</c:v>
                </c:pt>
                <c:pt idx="8">
                  <c:v>4.3282569824322223</c:v>
                </c:pt>
                <c:pt idx="9">
                  <c:v>4.1514469114022319</c:v>
                </c:pt>
                <c:pt idx="10">
                  <c:v>4.858755125224306</c:v>
                </c:pt>
                <c:pt idx="11">
                  <c:v>6.0966030434863399</c:v>
                </c:pt>
              </c:numCache>
            </c:numRef>
          </c:val>
          <c:smooth val="0"/>
          <c:extLst>
            <c:ext xmlns:c16="http://schemas.microsoft.com/office/drawing/2014/chart" uri="{C3380CC4-5D6E-409C-BE32-E72D297353CC}">
              <c16:uniqueId val="{00000003-AB67-42E0-A2EF-0AC9A389CCFE}"/>
            </c:ext>
          </c:extLst>
        </c:ser>
        <c:ser>
          <c:idx val="4"/>
          <c:order val="4"/>
          <c:tx>
            <c:strRef>
              <c:f>Sheet1!$F$1</c:f>
              <c:strCache>
                <c:ptCount val="1"/>
                <c:pt idx="0">
                  <c:v>2022 (առանց դրամի արժևորման)</c:v>
                </c:pt>
              </c:strCache>
            </c:strRef>
          </c:tx>
          <c:spPr>
            <a:ln>
              <a:solidFill>
                <a:srgbClr val="5B9BD5"/>
              </a:solidFill>
              <a:prstDash val="dash"/>
            </a:ln>
          </c:spPr>
          <c:marker>
            <c:symbol val="none"/>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-1.1901198543983469</c:v>
                </c:pt>
                <c:pt idx="1">
                  <c:v>-0.15949466952658042</c:v>
                </c:pt>
                <c:pt idx="2">
                  <c:v>-0.59367880356178659</c:v>
                </c:pt>
                <c:pt idx="3">
                  <c:v>1.2854428496829229</c:v>
                </c:pt>
                <c:pt idx="4">
                  <c:v>5.0812724814332029</c:v>
                </c:pt>
                <c:pt idx="5">
                  <c:v>9.4205071331532366</c:v>
                </c:pt>
                <c:pt idx="6">
                  <c:v>10.529331499056198</c:v>
                </c:pt>
                <c:pt idx="7">
                  <c:v>10.890898660457381</c:v>
                </c:pt>
                <c:pt idx="8">
                  <c:v>11.737255189412437</c:v>
                </c:pt>
                <c:pt idx="9">
                  <c:v>12.770682720317069</c:v>
                </c:pt>
                <c:pt idx="10">
                  <c:v>13.568618318585891</c:v>
                </c:pt>
                <c:pt idx="11">
                  <c:v>14.932266469302306</c:v>
                </c:pt>
              </c:numCache>
            </c:numRef>
          </c:val>
          <c:smooth val="0"/>
          <c:extLst>
            <c:ext xmlns:c16="http://schemas.microsoft.com/office/drawing/2014/chart" uri="{C3380CC4-5D6E-409C-BE32-E72D297353CC}">
              <c16:uniqueId val="{00000004-AB67-42E0-A2EF-0AC9A389CCFE}"/>
            </c:ext>
          </c:extLst>
        </c:ser>
        <c:ser>
          <c:idx val="5"/>
          <c:order val="5"/>
          <c:tx>
            <c:strRef>
              <c:f>Sheet1!$G$1</c:f>
              <c:strCache>
                <c:ptCount val="1"/>
                <c:pt idx="0">
                  <c:v>2023</c:v>
                </c:pt>
              </c:strCache>
            </c:strRef>
          </c:tx>
          <c:spPr>
            <a:ln>
              <a:solidFill>
                <a:srgbClr val="C00000"/>
              </a:solidFill>
            </a:ln>
          </c:spPr>
          <c:marker>
            <c:symbol val="circle"/>
            <c:size val="5"/>
            <c:spPr>
              <a:solidFill>
                <a:srgbClr val="C00000"/>
              </a:solidFill>
              <a:ln>
                <a:noFill/>
              </a:ln>
            </c:spPr>
          </c:marker>
          <c:dLbls>
            <c:dLbl>
              <c:idx val="5"/>
              <c:layout>
                <c:manualLayout>
                  <c:x val="8.3998320033599333E-3"/>
                  <c:y val="2.64608599779492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B67-42E0-A2EF-0AC9A389CCF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Sheet1!$G$2:$G$13</c:f>
              <c:numCache>
                <c:formatCode>0.0</c:formatCode>
                <c:ptCount val="12"/>
                <c:pt idx="0">
                  <c:v>5.6979284394144969</c:v>
                </c:pt>
                <c:pt idx="1">
                  <c:v>5.2865854045653293</c:v>
                </c:pt>
                <c:pt idx="2">
                  <c:v>7.6282926737736716</c:v>
                </c:pt>
                <c:pt idx="3">
                  <c:v>9.3662974721974166</c:v>
                </c:pt>
                <c:pt idx="4">
                  <c:v>10.46304494713975</c:v>
                </c:pt>
                <c:pt idx="5">
                  <c:v>15.06661467152594</c:v>
                </c:pt>
              </c:numCache>
            </c:numRef>
          </c:val>
          <c:smooth val="0"/>
          <c:extLst>
            <c:ext xmlns:c16="http://schemas.microsoft.com/office/drawing/2014/chart" uri="{C3380CC4-5D6E-409C-BE32-E72D297353CC}">
              <c16:uniqueId val="{00000006-AB67-42E0-A2EF-0AC9A389CCFE}"/>
            </c:ext>
          </c:extLst>
        </c:ser>
        <c:ser>
          <c:idx val="6"/>
          <c:order val="6"/>
          <c:tx>
            <c:strRef>
              <c:f>Sheet1!$H$1</c:f>
              <c:strCache>
                <c:ptCount val="1"/>
                <c:pt idx="0">
                  <c:v>2023 (առանց դրամի արժևորման)</c:v>
                </c:pt>
              </c:strCache>
            </c:strRef>
          </c:tx>
          <c:spPr>
            <a:ln>
              <a:solidFill>
                <a:srgbClr val="C00000"/>
              </a:solidFill>
              <a:prstDash val="dash"/>
            </a:ln>
          </c:spPr>
          <c:marker>
            <c:symbol val="none"/>
          </c:marker>
          <c:dLbls>
            <c:dLbl>
              <c:idx val="5"/>
              <c:layout>
                <c:manualLayout>
                  <c:x val="-7.6997570548293951E-17"/>
                  <c:y val="-3.52811466372657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B67-42E0-A2EF-0AC9A389CCF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Sheet1!$H$2:$H$13</c:f>
              <c:numCache>
                <c:formatCode>0.0</c:formatCode>
                <c:ptCount val="12"/>
                <c:pt idx="0">
                  <c:v>14.871205328911955</c:v>
                </c:pt>
                <c:pt idx="1">
                  <c:v>14.651880416482072</c:v>
                </c:pt>
                <c:pt idx="2">
                  <c:v>17.153257817582684</c:v>
                </c:pt>
                <c:pt idx="3">
                  <c:v>15.66555408466553</c:v>
                </c:pt>
                <c:pt idx="4">
                  <c:v>15.663466996378546</c:v>
                </c:pt>
                <c:pt idx="5">
                  <c:v>16.23470685283101</c:v>
                </c:pt>
              </c:numCache>
            </c:numRef>
          </c:val>
          <c:smooth val="0"/>
          <c:extLst>
            <c:ext xmlns:c16="http://schemas.microsoft.com/office/drawing/2014/chart" uri="{C3380CC4-5D6E-409C-BE32-E72D297353CC}">
              <c16:uniqueId val="{00000008-AB67-42E0-A2EF-0AC9A389CCFE}"/>
            </c:ext>
          </c:extLst>
        </c:ser>
        <c:dLbls>
          <c:showLegendKey val="0"/>
          <c:showVal val="0"/>
          <c:showCatName val="0"/>
          <c:showSerName val="0"/>
          <c:showPercent val="0"/>
          <c:showBubbleSize val="0"/>
        </c:dLbls>
        <c:marker val="1"/>
        <c:smooth val="0"/>
        <c:axId val="341285120"/>
        <c:axId val="341303296"/>
      </c:lineChart>
      <c:catAx>
        <c:axId val="341285120"/>
        <c:scaling>
          <c:orientation val="minMax"/>
        </c:scaling>
        <c:delete val="0"/>
        <c:axPos val="b"/>
        <c:numFmt formatCode="General" sourceLinked="1"/>
        <c:majorTickMark val="out"/>
        <c:minorTickMark val="none"/>
        <c:tickLblPos val="low"/>
        <c:crossAx val="341303296"/>
        <c:crosses val="autoZero"/>
        <c:auto val="1"/>
        <c:lblAlgn val="ctr"/>
        <c:lblOffset val="400"/>
        <c:noMultiLvlLbl val="0"/>
      </c:catAx>
      <c:valAx>
        <c:axId val="341303296"/>
        <c:scaling>
          <c:orientation val="minMax"/>
          <c:min val="-10"/>
        </c:scaling>
        <c:delete val="0"/>
        <c:axPos val="l"/>
        <c:numFmt formatCode="0.0" sourceLinked="1"/>
        <c:majorTickMark val="out"/>
        <c:minorTickMark val="none"/>
        <c:tickLblPos val="nextTo"/>
        <c:crossAx val="341285120"/>
        <c:crosses val="autoZero"/>
        <c:crossBetween val="between"/>
      </c:valAx>
    </c:plotArea>
    <c:legend>
      <c:legendPos val="r"/>
      <c:layout>
        <c:manualLayout>
          <c:xMode val="edge"/>
          <c:yMode val="edge"/>
          <c:x val="1.6617922759655041E-2"/>
          <c:y val="0.80973701135040244"/>
          <c:w val="0.92972118510385693"/>
          <c:h val="0.19026295913672311"/>
        </c:manualLayout>
      </c:layout>
      <c:overlay val="0"/>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Դրամավարկային քաղաքականության տոկոսադրույքները</a:t>
            </a:r>
            <a:r>
              <a:rPr lang="en-US" sz="1000"/>
              <a:t> </a:t>
            </a:r>
          </a:p>
        </c:rich>
      </c:tx>
      <c:layout>
        <c:manualLayout>
          <c:xMode val="edge"/>
          <c:yMode val="edge"/>
          <c:x val="0.15867606737171955"/>
          <c:y val="6.9374588088383226E-6"/>
        </c:manualLayout>
      </c:layout>
      <c:overlay val="0"/>
      <c:spPr>
        <a:noFill/>
        <a:ln w="25400">
          <a:noFill/>
        </a:ln>
      </c:spPr>
    </c:title>
    <c:autoTitleDeleted val="0"/>
    <c:plotArea>
      <c:layout>
        <c:manualLayout>
          <c:layoutTarget val="inner"/>
          <c:xMode val="edge"/>
          <c:yMode val="edge"/>
          <c:x val="9.6437897522516872E-2"/>
          <c:y val="0.18716063288539592"/>
          <c:w val="0.86044163321087097"/>
          <c:h val="0.52389368914258139"/>
        </c:manualLayout>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cat>
            <c:multiLvlStrRef>
              <c:f>Sheet1!$A$2:$B$67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Sheet1!$C$2:$C$67</c:f>
              <c:numCache>
                <c:formatCode>General</c:formatCode>
                <c:ptCount val="54"/>
                <c:pt idx="0">
                  <c:v>2.4</c:v>
                </c:pt>
                <c:pt idx="1">
                  <c:v>2.4</c:v>
                </c:pt>
                <c:pt idx="2">
                  <c:v>2.4</c:v>
                </c:pt>
                <c:pt idx="3">
                  <c:v>2.4</c:v>
                </c:pt>
                <c:pt idx="4">
                  <c:v>2.4</c:v>
                </c:pt>
                <c:pt idx="5">
                  <c:v>2.4</c:v>
                </c:pt>
                <c:pt idx="6">
                  <c:v>2.4</c:v>
                </c:pt>
                <c:pt idx="7">
                  <c:v>2.1</c:v>
                </c:pt>
                <c:pt idx="8">
                  <c:v>1.9</c:v>
                </c:pt>
                <c:pt idx="9">
                  <c:v>1.9</c:v>
                </c:pt>
                <c:pt idx="10">
                  <c:v>1.6</c:v>
                </c:pt>
                <c:pt idx="11">
                  <c:v>1.6</c:v>
                </c:pt>
                <c:pt idx="12">
                  <c:v>1.6</c:v>
                </c:pt>
                <c:pt idx="13">
                  <c:v>1.6</c:v>
                </c:pt>
                <c:pt idx="14">
                  <c:v>1.1000000000000001</c:v>
                </c:pt>
                <c:pt idx="15">
                  <c:v>0.1</c:v>
                </c:pt>
                <c:pt idx="16">
                  <c:v>0.1</c:v>
                </c:pt>
                <c:pt idx="17">
                  <c:v>0.1</c:v>
                </c:pt>
                <c:pt idx="18">
                  <c:v>0.1</c:v>
                </c:pt>
                <c:pt idx="19">
                  <c:v>0.1</c:v>
                </c:pt>
                <c:pt idx="20">
                  <c:v>0.09</c:v>
                </c:pt>
                <c:pt idx="21">
                  <c:v>0.09</c:v>
                </c:pt>
                <c:pt idx="22">
                  <c:v>0.09</c:v>
                </c:pt>
                <c:pt idx="23">
                  <c:v>0.09</c:v>
                </c:pt>
                <c:pt idx="24">
                  <c:v>0.09</c:v>
                </c:pt>
                <c:pt idx="25">
                  <c:v>0.08</c:v>
                </c:pt>
                <c:pt idx="26">
                  <c:v>7.0000000000000007E-2</c:v>
                </c:pt>
                <c:pt idx="27">
                  <c:v>7.0000000000000007E-2</c:v>
                </c:pt>
                <c:pt idx="28">
                  <c:v>0.06</c:v>
                </c:pt>
                <c:pt idx="29">
                  <c:v>0.06</c:v>
                </c:pt>
                <c:pt idx="30">
                  <c:v>0.1</c:v>
                </c:pt>
                <c:pt idx="31">
                  <c:v>0.09</c:v>
                </c:pt>
                <c:pt idx="32">
                  <c:v>0.08</c:v>
                </c:pt>
                <c:pt idx="33">
                  <c:v>0.08</c:v>
                </c:pt>
                <c:pt idx="34">
                  <c:v>0.08</c:v>
                </c:pt>
                <c:pt idx="35">
                  <c:v>0.08</c:v>
                </c:pt>
                <c:pt idx="36">
                  <c:v>0.1</c:v>
                </c:pt>
                <c:pt idx="37">
                  <c:v>0.1</c:v>
                </c:pt>
                <c:pt idx="38">
                  <c:v>0.2</c:v>
                </c:pt>
                <c:pt idx="39">
                  <c:v>0.3</c:v>
                </c:pt>
                <c:pt idx="40">
                  <c:v>0.8</c:v>
                </c:pt>
                <c:pt idx="41">
                  <c:v>1.2</c:v>
                </c:pt>
                <c:pt idx="42">
                  <c:v>1.7</c:v>
                </c:pt>
                <c:pt idx="43">
                  <c:v>2.2999999999999998</c:v>
                </c:pt>
                <c:pt idx="44">
                  <c:v>2.6</c:v>
                </c:pt>
                <c:pt idx="45">
                  <c:v>3.1</c:v>
                </c:pt>
                <c:pt idx="46">
                  <c:v>3.8</c:v>
                </c:pt>
                <c:pt idx="47">
                  <c:v>4.0999999999999996</c:v>
                </c:pt>
                <c:pt idx="48" formatCode="0.00">
                  <c:v>4.3</c:v>
                </c:pt>
                <c:pt idx="49" formatCode="0.00">
                  <c:v>4.5999999999999996</c:v>
                </c:pt>
                <c:pt idx="50" formatCode="0.00">
                  <c:v>5</c:v>
                </c:pt>
                <c:pt idx="51" formatCode="0.00">
                  <c:v>5.25</c:v>
                </c:pt>
                <c:pt idx="52" formatCode="0.00">
                  <c:v>5.25</c:v>
                </c:pt>
                <c:pt idx="53" formatCode="0.00">
                  <c:v>5.25</c:v>
                </c:pt>
              </c:numCache>
            </c:numRef>
          </c:val>
          <c:smooth val="0"/>
          <c:extLst>
            <c:ext xmlns:c16="http://schemas.microsoft.com/office/drawing/2014/chart" uri="{C3380CC4-5D6E-409C-BE32-E72D297353CC}">
              <c16:uniqueId val="{00000000-CFD2-49A1-8741-855C89FC5E19}"/>
            </c:ext>
          </c:extLst>
        </c:ser>
        <c:ser>
          <c:idx val="1"/>
          <c:order val="1"/>
          <c:tx>
            <c:strRef>
              <c:f>Sheet1!$D$1</c:f>
              <c:strCache>
                <c:ptCount val="1"/>
                <c:pt idx="0">
                  <c:v>ԵԳ</c:v>
                </c:pt>
              </c:strCache>
            </c:strRef>
          </c:tx>
          <c:spPr>
            <a:ln w="28575" cap="rnd">
              <a:solidFill>
                <a:schemeClr val="accent1"/>
              </a:solidFill>
              <a:round/>
            </a:ln>
            <a:effectLst/>
          </c:spPr>
          <c:marker>
            <c:symbol val="none"/>
          </c:marker>
          <c:cat>
            <c:multiLvlStrRef>
              <c:f>Sheet1!$A$2:$B$67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Sheet1!$D$2:$D$67</c:f>
              <c:numCache>
                <c:formatCode>General</c:formatCode>
                <c:ptCount val="5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0.5</c:v>
                </c:pt>
                <c:pt idx="43">
                  <c:v>0.5</c:v>
                </c:pt>
                <c:pt idx="44" formatCode="0.0">
                  <c:v>1.3</c:v>
                </c:pt>
                <c:pt idx="45" formatCode="0.0">
                  <c:v>1.3</c:v>
                </c:pt>
                <c:pt idx="46">
                  <c:v>2</c:v>
                </c:pt>
                <c:pt idx="47">
                  <c:v>2.5</c:v>
                </c:pt>
                <c:pt idx="48" formatCode="0.00">
                  <c:v>2.5</c:v>
                </c:pt>
                <c:pt idx="49" formatCode="0.00">
                  <c:v>3</c:v>
                </c:pt>
                <c:pt idx="50" formatCode="0.00">
                  <c:v>3.5</c:v>
                </c:pt>
                <c:pt idx="51" formatCode="0.00">
                  <c:v>3.75</c:v>
                </c:pt>
                <c:pt idx="52" formatCode="0.00">
                  <c:v>3.75</c:v>
                </c:pt>
                <c:pt idx="53" formatCode="0.00">
                  <c:v>4</c:v>
                </c:pt>
              </c:numCache>
            </c:numRef>
          </c:val>
          <c:smooth val="0"/>
          <c:extLst>
            <c:ext xmlns:c16="http://schemas.microsoft.com/office/drawing/2014/chart" uri="{C3380CC4-5D6E-409C-BE32-E72D297353CC}">
              <c16:uniqueId val="{00000001-CFD2-49A1-8741-855C89FC5E19}"/>
            </c:ext>
          </c:extLst>
        </c:ser>
        <c:ser>
          <c:idx val="2"/>
          <c:order val="2"/>
          <c:tx>
            <c:strRef>
              <c:f>Sheet1!$E$1</c:f>
              <c:strCache>
                <c:ptCount val="1"/>
                <c:pt idx="0">
                  <c:v>Չինաստան</c:v>
                </c:pt>
              </c:strCache>
            </c:strRef>
          </c:tx>
          <c:spPr>
            <a:ln w="28575" cap="rnd">
              <a:solidFill>
                <a:schemeClr val="bg1">
                  <a:lumMod val="65000"/>
                </a:schemeClr>
              </a:solidFill>
              <a:round/>
            </a:ln>
            <a:effectLst/>
          </c:spPr>
          <c:marker>
            <c:symbol val="none"/>
          </c:marker>
          <c:cat>
            <c:multiLvlStrRef>
              <c:f>Sheet1!$A$2:$B$67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Sheet1!$E$2:$E$67</c:f>
              <c:numCache>
                <c:formatCode>General</c:formatCode>
                <c:ptCount val="54"/>
                <c:pt idx="0">
                  <c:v>4.25</c:v>
                </c:pt>
                <c:pt idx="1">
                  <c:v>4.25</c:v>
                </c:pt>
                <c:pt idx="2">
                  <c:v>4.25</c:v>
                </c:pt>
                <c:pt idx="3">
                  <c:v>4.25</c:v>
                </c:pt>
                <c:pt idx="4">
                  <c:v>4.25</c:v>
                </c:pt>
                <c:pt idx="5">
                  <c:v>4.25</c:v>
                </c:pt>
                <c:pt idx="6">
                  <c:v>4.25</c:v>
                </c:pt>
                <c:pt idx="7">
                  <c:v>4.25</c:v>
                </c:pt>
                <c:pt idx="8">
                  <c:v>4.2</c:v>
                </c:pt>
                <c:pt idx="9">
                  <c:v>4.2</c:v>
                </c:pt>
                <c:pt idx="10">
                  <c:v>4.1500000000000004</c:v>
                </c:pt>
                <c:pt idx="11">
                  <c:v>4.1500000000000004</c:v>
                </c:pt>
                <c:pt idx="12">
                  <c:v>4.1500000000000004</c:v>
                </c:pt>
                <c:pt idx="13">
                  <c:v>4.05</c:v>
                </c:pt>
                <c:pt idx="14">
                  <c:v>4.05</c:v>
                </c:pt>
                <c:pt idx="15">
                  <c:v>3.85</c:v>
                </c:pt>
                <c:pt idx="16">
                  <c:v>3.85</c:v>
                </c:pt>
                <c:pt idx="17">
                  <c:v>3.85</c:v>
                </c:pt>
                <c:pt idx="18">
                  <c:v>3.85</c:v>
                </c:pt>
                <c:pt idx="19">
                  <c:v>3.85</c:v>
                </c:pt>
                <c:pt idx="20">
                  <c:v>3.85</c:v>
                </c:pt>
                <c:pt idx="21">
                  <c:v>3.85</c:v>
                </c:pt>
                <c:pt idx="22">
                  <c:v>3.85</c:v>
                </c:pt>
                <c:pt idx="23">
                  <c:v>3.85</c:v>
                </c:pt>
                <c:pt idx="24">
                  <c:v>3.85</c:v>
                </c:pt>
                <c:pt idx="25">
                  <c:v>3.85</c:v>
                </c:pt>
                <c:pt idx="26">
                  <c:v>3.85</c:v>
                </c:pt>
                <c:pt idx="27">
                  <c:v>3.85</c:v>
                </c:pt>
                <c:pt idx="28">
                  <c:v>3.85</c:v>
                </c:pt>
                <c:pt idx="29">
                  <c:v>3.85</c:v>
                </c:pt>
                <c:pt idx="30">
                  <c:v>3.85</c:v>
                </c:pt>
                <c:pt idx="31">
                  <c:v>3.85</c:v>
                </c:pt>
                <c:pt idx="32">
                  <c:v>3.85</c:v>
                </c:pt>
                <c:pt idx="33">
                  <c:v>3.85</c:v>
                </c:pt>
                <c:pt idx="34">
                  <c:v>3.85</c:v>
                </c:pt>
                <c:pt idx="35">
                  <c:v>3.8</c:v>
                </c:pt>
                <c:pt idx="36">
                  <c:v>3.8</c:v>
                </c:pt>
                <c:pt idx="37">
                  <c:v>3.7</c:v>
                </c:pt>
                <c:pt idx="38">
                  <c:v>3.7</c:v>
                </c:pt>
                <c:pt idx="39">
                  <c:v>3.7</c:v>
                </c:pt>
                <c:pt idx="40">
                  <c:v>3.7</c:v>
                </c:pt>
                <c:pt idx="41">
                  <c:v>3.7</c:v>
                </c:pt>
                <c:pt idx="42">
                  <c:v>3.7</c:v>
                </c:pt>
                <c:pt idx="43">
                  <c:v>3.7</c:v>
                </c:pt>
                <c:pt idx="44" formatCode="0.00">
                  <c:v>3.65</c:v>
                </c:pt>
                <c:pt idx="45" formatCode="0.00">
                  <c:v>3.65</c:v>
                </c:pt>
                <c:pt idx="46" formatCode="0.00">
                  <c:v>3.65</c:v>
                </c:pt>
                <c:pt idx="47" formatCode="0.00">
                  <c:v>3.65</c:v>
                </c:pt>
                <c:pt idx="48" formatCode="0.00">
                  <c:v>3.65</c:v>
                </c:pt>
                <c:pt idx="49" formatCode="0.00">
                  <c:v>3.65</c:v>
                </c:pt>
                <c:pt idx="50" formatCode="0.00">
                  <c:v>3.65</c:v>
                </c:pt>
                <c:pt idx="51" formatCode="0.00">
                  <c:v>3.65</c:v>
                </c:pt>
                <c:pt idx="52" formatCode="0.00">
                  <c:v>3.65</c:v>
                </c:pt>
                <c:pt idx="53" formatCode="0.00">
                  <c:v>3.55</c:v>
                </c:pt>
              </c:numCache>
            </c:numRef>
          </c:val>
          <c:smooth val="0"/>
          <c:extLst>
            <c:ext xmlns:c16="http://schemas.microsoft.com/office/drawing/2014/chart" uri="{C3380CC4-5D6E-409C-BE32-E72D297353CC}">
              <c16:uniqueId val="{00000002-CFD2-49A1-8741-855C89FC5E19}"/>
            </c:ext>
          </c:extLst>
        </c:ser>
        <c:ser>
          <c:idx val="3"/>
          <c:order val="3"/>
          <c:tx>
            <c:strRef>
              <c:f>Sheet1!$F$1</c:f>
              <c:strCache>
                <c:ptCount val="1"/>
                <c:pt idx="0">
                  <c:v>ՌԴ</c:v>
                </c:pt>
              </c:strCache>
            </c:strRef>
          </c:tx>
          <c:spPr>
            <a:ln w="28575" cap="rnd">
              <a:solidFill>
                <a:schemeClr val="accent6">
                  <a:lumMod val="60000"/>
                  <a:lumOff val="40000"/>
                </a:schemeClr>
              </a:solidFill>
              <a:round/>
            </a:ln>
            <a:effectLst/>
          </c:spPr>
          <c:marker>
            <c:symbol val="none"/>
          </c:marker>
          <c:cat>
            <c:multiLvlStrRef>
              <c:f>Sheet1!$A$2:$B$67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Sheet1!$F$2:$F$67</c:f>
              <c:numCache>
                <c:formatCode>General</c:formatCode>
                <c:ptCount val="54"/>
                <c:pt idx="0">
                  <c:v>7.75</c:v>
                </c:pt>
                <c:pt idx="1">
                  <c:v>7.75</c:v>
                </c:pt>
                <c:pt idx="2">
                  <c:v>7.75</c:v>
                </c:pt>
                <c:pt idx="3">
                  <c:v>7.75</c:v>
                </c:pt>
                <c:pt idx="4">
                  <c:v>7.75</c:v>
                </c:pt>
                <c:pt idx="5">
                  <c:v>7.5</c:v>
                </c:pt>
                <c:pt idx="6">
                  <c:v>7.5</c:v>
                </c:pt>
                <c:pt idx="7">
                  <c:v>7.25</c:v>
                </c:pt>
                <c:pt idx="8">
                  <c:v>7</c:v>
                </c:pt>
                <c:pt idx="9">
                  <c:v>7</c:v>
                </c:pt>
                <c:pt idx="10">
                  <c:v>6.5</c:v>
                </c:pt>
                <c:pt idx="11">
                  <c:v>6.25</c:v>
                </c:pt>
                <c:pt idx="12">
                  <c:v>6.25</c:v>
                </c:pt>
                <c:pt idx="13">
                  <c:v>6</c:v>
                </c:pt>
                <c:pt idx="14">
                  <c:v>6</c:v>
                </c:pt>
                <c:pt idx="15">
                  <c:v>6</c:v>
                </c:pt>
                <c:pt idx="16">
                  <c:v>5.5</c:v>
                </c:pt>
                <c:pt idx="17">
                  <c:v>5.5</c:v>
                </c:pt>
                <c:pt idx="18">
                  <c:v>4.5</c:v>
                </c:pt>
                <c:pt idx="19">
                  <c:v>4.25</c:v>
                </c:pt>
                <c:pt idx="20">
                  <c:v>4.25</c:v>
                </c:pt>
                <c:pt idx="21">
                  <c:v>4.25</c:v>
                </c:pt>
                <c:pt idx="22">
                  <c:v>4.25</c:v>
                </c:pt>
                <c:pt idx="23">
                  <c:v>4.25</c:v>
                </c:pt>
                <c:pt idx="24">
                  <c:v>4.25</c:v>
                </c:pt>
                <c:pt idx="25">
                  <c:v>4.25</c:v>
                </c:pt>
                <c:pt idx="26">
                  <c:v>4.25</c:v>
                </c:pt>
                <c:pt idx="27">
                  <c:v>4.5</c:v>
                </c:pt>
                <c:pt idx="28">
                  <c:v>5</c:v>
                </c:pt>
                <c:pt idx="29">
                  <c:v>5.5</c:v>
                </c:pt>
                <c:pt idx="30">
                  <c:v>5.5</c:v>
                </c:pt>
                <c:pt idx="31">
                  <c:v>6.5</c:v>
                </c:pt>
                <c:pt idx="32">
                  <c:v>6.75</c:v>
                </c:pt>
                <c:pt idx="33">
                  <c:v>6.75</c:v>
                </c:pt>
                <c:pt idx="34">
                  <c:v>7.5</c:v>
                </c:pt>
                <c:pt idx="35">
                  <c:v>8.5</c:v>
                </c:pt>
                <c:pt idx="36" formatCode="0.0">
                  <c:v>8.5</c:v>
                </c:pt>
                <c:pt idx="37" formatCode="0.0">
                  <c:v>9.5</c:v>
                </c:pt>
                <c:pt idx="38" formatCode="0.0">
                  <c:v>20</c:v>
                </c:pt>
                <c:pt idx="39" formatCode="0.0">
                  <c:v>17</c:v>
                </c:pt>
                <c:pt idx="40" formatCode="0.0">
                  <c:v>14</c:v>
                </c:pt>
                <c:pt idx="41" formatCode="0.0">
                  <c:v>11</c:v>
                </c:pt>
                <c:pt idx="42" formatCode="0.0">
                  <c:v>9.5</c:v>
                </c:pt>
                <c:pt idx="43" formatCode="0.0">
                  <c:v>8</c:v>
                </c:pt>
                <c:pt idx="44" formatCode="0.0">
                  <c:v>7.5</c:v>
                </c:pt>
                <c:pt idx="45" formatCode="0.0">
                  <c:v>7.5</c:v>
                </c:pt>
                <c:pt idx="46" formatCode="0.0">
                  <c:v>7.5</c:v>
                </c:pt>
                <c:pt idx="47" formatCode="0.0">
                  <c:v>7.5</c:v>
                </c:pt>
                <c:pt idx="48" formatCode="0.00">
                  <c:v>7.5</c:v>
                </c:pt>
                <c:pt idx="49" formatCode="0.00">
                  <c:v>7.5</c:v>
                </c:pt>
                <c:pt idx="50" formatCode="0.00">
                  <c:v>7.5</c:v>
                </c:pt>
                <c:pt idx="51" formatCode="0.00">
                  <c:v>7.5</c:v>
                </c:pt>
                <c:pt idx="52" formatCode="0.00">
                  <c:v>7.5</c:v>
                </c:pt>
                <c:pt idx="53" formatCode="0.00">
                  <c:v>7.5</c:v>
                </c:pt>
              </c:numCache>
            </c:numRef>
          </c:val>
          <c:smooth val="0"/>
          <c:extLst>
            <c:ext xmlns:c16="http://schemas.microsoft.com/office/drawing/2014/chart" uri="{C3380CC4-5D6E-409C-BE32-E72D297353CC}">
              <c16:uniqueId val="{00000003-CFD2-49A1-8741-855C89FC5E19}"/>
            </c:ext>
          </c:extLst>
        </c:ser>
        <c:dLbls>
          <c:showLegendKey val="0"/>
          <c:showVal val="0"/>
          <c:showCatName val="0"/>
          <c:showSerName val="0"/>
          <c:showPercent val="0"/>
          <c:showBubbleSize val="0"/>
        </c:dLbls>
        <c:smooth val="0"/>
        <c:axId val="-1138608064"/>
        <c:axId val="-1138610784"/>
      </c:lineChart>
      <c:catAx>
        <c:axId val="-1138608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610784"/>
        <c:crosses val="autoZero"/>
        <c:auto val="1"/>
        <c:lblAlgn val="ctr"/>
        <c:lblOffset val="100"/>
        <c:noMultiLvlLbl val="0"/>
      </c:catAx>
      <c:valAx>
        <c:axId val="-1138610784"/>
        <c:scaling>
          <c:orientation val="minMax"/>
          <c:max val="2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60806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Ավանդների ծավալների աճ</a:t>
            </a:r>
            <a:r>
              <a:rPr lang="hy-AM" b="0"/>
              <a:t> </a:t>
            </a:r>
            <a:r>
              <a:rPr lang="ru-RU" b="0"/>
              <a:t>(</a:t>
            </a:r>
            <a:r>
              <a:rPr lang="hy-AM" b="0"/>
              <a:t>ռեզիդենտների</a:t>
            </a:r>
            <a:r>
              <a:rPr lang="ru-RU" b="0"/>
              <a:t>)</a:t>
            </a:r>
            <a:r>
              <a:rPr lang="en-US" b="0"/>
              <a:t>, 20</a:t>
            </a:r>
            <a:r>
              <a:rPr lang="hy-AM" b="0"/>
              <a:t>22թ․-</a:t>
            </a:r>
            <a:r>
              <a:rPr lang="en-US" b="0"/>
              <a:t>20</a:t>
            </a:r>
            <a:r>
              <a:rPr lang="hy-AM" b="0"/>
              <a:t>23</a:t>
            </a:r>
            <a:r>
              <a:rPr lang="en-US" b="0"/>
              <a:t>թ</a:t>
            </a:r>
            <a:r>
              <a:rPr lang="en-US" sz="1080" b="0" i="0" u="none" strike="noStrike" kern="1200" baseline="0">
                <a:solidFill>
                  <a:sysClr val="windowText" lastClr="000000"/>
                </a:solidFill>
                <a:latin typeface="GHEA Grapalat" panose="02000506050000020003" pitchFamily="50" charset="0"/>
                <a:ea typeface="+mn-ea"/>
                <a:cs typeface="+mn-cs"/>
              </a:rPr>
              <a:t>.</a:t>
            </a:r>
            <a:r>
              <a:rPr lang="hy-AM" sz="1080" b="0" i="0" u="none" strike="noStrike" kern="1200" baseline="0">
                <a:solidFill>
                  <a:sysClr val="windowText" lastClr="000000"/>
                </a:solidFill>
                <a:latin typeface="GHEA Grapalat" panose="02000506050000020003" pitchFamily="50" charset="0"/>
                <a:ea typeface="+mn-ea"/>
                <a:cs typeface="+mn-cs"/>
              </a:rPr>
              <a:t> հունիս</a:t>
            </a:r>
            <a:r>
              <a:rPr lang="en-US" b="0"/>
              <a:t> </a:t>
            </a:r>
          </a:p>
        </c:rich>
      </c:tx>
      <c:layout>
        <c:manualLayout>
          <c:xMode val="edge"/>
          <c:yMode val="edge"/>
          <c:x val="0.16384017215239399"/>
          <c:y val="2.147029930695855E-3"/>
        </c:manualLayout>
      </c:layout>
      <c:overlay val="0"/>
    </c:title>
    <c:autoTitleDeleted val="0"/>
    <c:plotArea>
      <c:layout>
        <c:manualLayout>
          <c:layoutTarget val="inner"/>
          <c:xMode val="edge"/>
          <c:yMode val="edge"/>
          <c:x val="4.3464888974767725E-2"/>
          <c:y val="0.2138511852685081"/>
          <c:w val="0.83504548144718005"/>
          <c:h val="0.49895274718567156"/>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C300-45C5-BF97-9D13F6538410}"/>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C300-45C5-BF97-9D13F6538410}"/>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Ref>
          </c:val>
          <c:smooth val="0"/>
          <c:extLst>
            <c:ext xmlns:c16="http://schemas.microsoft.com/office/drawing/2014/chart" uri="{C3380CC4-5D6E-409C-BE32-E72D297353CC}">
              <c16:uniqueId val="{00000002-C300-45C5-BF97-9D13F6538410}"/>
            </c:ext>
          </c:extLst>
        </c:ser>
        <c:ser>
          <c:idx val="3"/>
          <c:order val="3"/>
          <c:tx>
            <c:strRef>
              <c:f>Sheet1!$E$1</c:f>
              <c:strCache>
                <c:ptCount val="1"/>
                <c:pt idx="0">
                  <c:v>2022</c:v>
                </c:pt>
              </c:strCache>
            </c:strRef>
          </c:tx>
          <c:spPr>
            <a:ln>
              <a:solidFill>
                <a:srgbClr val="5B9BD5"/>
              </a:solidFill>
            </a:ln>
          </c:spPr>
          <c:marker>
            <c:symbol val="circle"/>
            <c:size val="5"/>
            <c:spPr>
              <a:solidFill>
                <a:srgbClr val="5B9BD5"/>
              </a:solidFill>
              <a:ln>
                <a:noFill/>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19.065893188817881</c:v>
                </c:pt>
                <c:pt idx="1">
                  <c:v>16.575865297662233</c:v>
                </c:pt>
                <c:pt idx="2">
                  <c:v>13.039110302972887</c:v>
                </c:pt>
                <c:pt idx="3">
                  <c:v>11.621666256055846</c:v>
                </c:pt>
                <c:pt idx="4">
                  <c:v>12.601440562088854</c:v>
                </c:pt>
                <c:pt idx="5">
                  <c:v>10.268789716692169</c:v>
                </c:pt>
                <c:pt idx="6">
                  <c:v>11.69913881315334</c:v>
                </c:pt>
                <c:pt idx="7">
                  <c:v>10.813897468549399</c:v>
                </c:pt>
                <c:pt idx="8">
                  <c:v>13.129466080747093</c:v>
                </c:pt>
                <c:pt idx="9">
                  <c:v>13.622120482284643</c:v>
                </c:pt>
                <c:pt idx="10">
                  <c:v>16.88865738870507</c:v>
                </c:pt>
                <c:pt idx="11">
                  <c:v>17.460421550041076</c:v>
                </c:pt>
              </c:numCache>
            </c:numRef>
          </c:val>
          <c:smooth val="0"/>
          <c:extLst>
            <c:ext xmlns:c16="http://schemas.microsoft.com/office/drawing/2014/chart" uri="{C3380CC4-5D6E-409C-BE32-E72D297353CC}">
              <c16:uniqueId val="{00000003-C300-45C5-BF97-9D13F6538410}"/>
            </c:ext>
          </c:extLst>
        </c:ser>
        <c:ser>
          <c:idx val="4"/>
          <c:order val="4"/>
          <c:tx>
            <c:strRef>
              <c:f>Sheet1!$F$1</c:f>
              <c:strCache>
                <c:ptCount val="1"/>
                <c:pt idx="0">
                  <c:v>2022 (առանց դրամի արժևորման)</c:v>
                </c:pt>
              </c:strCache>
            </c:strRef>
          </c:tx>
          <c:spPr>
            <a:ln>
              <a:solidFill>
                <a:srgbClr val="5B9BD5"/>
              </a:solidFill>
              <a:prstDash val="dash"/>
            </a:ln>
          </c:spPr>
          <c:marker>
            <c:symbol val="none"/>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19.065893188817881</c:v>
                </c:pt>
                <c:pt idx="1">
                  <c:v>16.575865297662233</c:v>
                </c:pt>
                <c:pt idx="2">
                  <c:v>12.838571961520344</c:v>
                </c:pt>
                <c:pt idx="3">
                  <c:v>14.751983253574053</c:v>
                </c:pt>
                <c:pt idx="4">
                  <c:v>16.434087780558372</c:v>
                </c:pt>
                <c:pt idx="5">
                  <c:v>18.944949200998963</c:v>
                </c:pt>
                <c:pt idx="6">
                  <c:v>20.544675750387071</c:v>
                </c:pt>
                <c:pt idx="7">
                  <c:v>19.955790333391406</c:v>
                </c:pt>
                <c:pt idx="8">
                  <c:v>22.650439680767477</c:v>
                </c:pt>
                <c:pt idx="9">
                  <c:v>24.667373148414029</c:v>
                </c:pt>
                <c:pt idx="10">
                  <c:v>28.427691247209225</c:v>
                </c:pt>
                <c:pt idx="11">
                  <c:v>29.224378384203675</c:v>
                </c:pt>
              </c:numCache>
            </c:numRef>
          </c:val>
          <c:smooth val="0"/>
          <c:extLst>
            <c:ext xmlns:c16="http://schemas.microsoft.com/office/drawing/2014/chart" uri="{C3380CC4-5D6E-409C-BE32-E72D297353CC}">
              <c16:uniqueId val="{00000004-C300-45C5-BF97-9D13F6538410}"/>
            </c:ext>
          </c:extLst>
        </c:ser>
        <c:ser>
          <c:idx val="5"/>
          <c:order val="5"/>
          <c:tx>
            <c:strRef>
              <c:f>Sheet1!$G$1</c:f>
              <c:strCache>
                <c:ptCount val="1"/>
                <c:pt idx="0">
                  <c:v>2023</c:v>
                </c:pt>
              </c:strCache>
            </c:strRef>
          </c:tx>
          <c:spPr>
            <a:ln>
              <a:solidFill>
                <a:srgbClr val="C00000"/>
              </a:solidFill>
            </a:ln>
          </c:spPr>
          <c:marker>
            <c:symbol val="circle"/>
            <c:size val="5"/>
            <c:spPr>
              <a:solidFill>
                <a:srgbClr val="C00000"/>
              </a:solidFill>
              <a:ln>
                <a:noFill/>
              </a:ln>
            </c:spPr>
          </c:marker>
          <c:dLbls>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300-45C5-BF97-9D13F653841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Sheet1!$G$2:$G$13</c:f>
              <c:numCache>
                <c:formatCode>0.0</c:formatCode>
                <c:ptCount val="12"/>
                <c:pt idx="0">
                  <c:v>17.058475215913887</c:v>
                </c:pt>
                <c:pt idx="1">
                  <c:v>17.790752935177849</c:v>
                </c:pt>
                <c:pt idx="2">
                  <c:v>20.812154357016539</c:v>
                </c:pt>
                <c:pt idx="3">
                  <c:v>23.964069061812765</c:v>
                </c:pt>
                <c:pt idx="4">
                  <c:v>21.764264904756686</c:v>
                </c:pt>
                <c:pt idx="5">
                  <c:v>23.935728122734261</c:v>
                </c:pt>
              </c:numCache>
            </c:numRef>
          </c:val>
          <c:smooth val="0"/>
          <c:extLst>
            <c:ext xmlns:c16="http://schemas.microsoft.com/office/drawing/2014/chart" uri="{C3380CC4-5D6E-409C-BE32-E72D297353CC}">
              <c16:uniqueId val="{00000006-C300-45C5-BF97-9D13F6538410}"/>
            </c:ext>
          </c:extLst>
        </c:ser>
        <c:ser>
          <c:idx val="6"/>
          <c:order val="6"/>
          <c:tx>
            <c:strRef>
              <c:f>Sheet1!$H$1</c:f>
              <c:strCache>
                <c:ptCount val="1"/>
                <c:pt idx="0">
                  <c:v>2023 (առանց դրամի արժևորման)</c:v>
                </c:pt>
              </c:strCache>
            </c:strRef>
          </c:tx>
          <c:spPr>
            <a:ln>
              <a:solidFill>
                <a:srgbClr val="C00000"/>
              </a:solidFill>
              <a:prstDash val="dash"/>
            </a:ln>
          </c:spPr>
          <c:marker>
            <c:symbol val="none"/>
          </c:marker>
          <c:dLbls>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300-45C5-BF97-9D13F653841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Sheet1!$H$2:$H$13</c:f>
              <c:numCache>
                <c:formatCode>0.0</c:formatCode>
                <c:ptCount val="12"/>
                <c:pt idx="0">
                  <c:v>28.542555646010214</c:v>
                </c:pt>
                <c:pt idx="1">
                  <c:v>30.451273883964745</c:v>
                </c:pt>
                <c:pt idx="2">
                  <c:v>33.950582880075984</c:v>
                </c:pt>
                <c:pt idx="3">
                  <c:v>33.825991786550219</c:v>
                </c:pt>
                <c:pt idx="4">
                  <c:v>30.159189841464155</c:v>
                </c:pt>
                <c:pt idx="5">
                  <c:v>26.833200828256693</c:v>
                </c:pt>
              </c:numCache>
            </c:numRef>
          </c:val>
          <c:smooth val="0"/>
          <c:extLst>
            <c:ext xmlns:c16="http://schemas.microsoft.com/office/drawing/2014/chart" uri="{C3380CC4-5D6E-409C-BE32-E72D297353CC}">
              <c16:uniqueId val="{00000008-C300-45C5-BF97-9D13F6538410}"/>
            </c:ext>
          </c:extLst>
        </c:ser>
        <c:dLbls>
          <c:showLegendKey val="0"/>
          <c:showVal val="0"/>
          <c:showCatName val="0"/>
          <c:showSerName val="0"/>
          <c:showPercent val="0"/>
          <c:showBubbleSize val="0"/>
        </c:dLbls>
        <c:marker val="1"/>
        <c:smooth val="0"/>
        <c:axId val="340384768"/>
        <c:axId val="340390656"/>
      </c:lineChart>
      <c:catAx>
        <c:axId val="340384768"/>
        <c:scaling>
          <c:orientation val="minMax"/>
        </c:scaling>
        <c:delete val="0"/>
        <c:axPos val="b"/>
        <c:numFmt formatCode="General" sourceLinked="1"/>
        <c:majorTickMark val="out"/>
        <c:minorTickMark val="none"/>
        <c:tickLblPos val="nextTo"/>
        <c:txPr>
          <a:bodyPr rot="0" vert="horz"/>
          <a:lstStyle/>
          <a:p>
            <a:pPr>
              <a:defRPr/>
            </a:pPr>
            <a:endParaRPr lang="en-US"/>
          </a:p>
        </c:txPr>
        <c:crossAx val="340390656"/>
        <c:crosses val="autoZero"/>
        <c:auto val="1"/>
        <c:lblAlgn val="ctr"/>
        <c:lblOffset val="100"/>
        <c:noMultiLvlLbl val="0"/>
      </c:catAx>
      <c:valAx>
        <c:axId val="340390656"/>
        <c:scaling>
          <c:orientation val="minMax"/>
        </c:scaling>
        <c:delete val="0"/>
        <c:axPos val="l"/>
        <c:numFmt formatCode="0.0" sourceLinked="1"/>
        <c:majorTickMark val="out"/>
        <c:minorTickMark val="none"/>
        <c:tickLblPos val="nextTo"/>
        <c:crossAx val="340384768"/>
        <c:crosses val="autoZero"/>
        <c:crossBetween val="between"/>
      </c:valAx>
    </c:plotArea>
    <c:legend>
      <c:legendPos val="r"/>
      <c:layout>
        <c:manualLayout>
          <c:xMode val="edge"/>
          <c:yMode val="edge"/>
          <c:x val="5.9308102616205234E-2"/>
          <c:y val="0.78649715297215739"/>
          <c:w val="0.79112395704841809"/>
          <c:h val="0.21350267820712046"/>
        </c:manualLayout>
      </c:layout>
      <c:overlay val="0"/>
    </c:legend>
    <c:plotVisOnly val="1"/>
    <c:dispBlanksAs val="gap"/>
    <c:showDLblsOverMax val="0"/>
  </c:chart>
  <c:spPr>
    <a:noFill/>
    <a:ln w="6350">
      <a:solidFill>
        <a:sysClr val="window" lastClr="FFFFFF">
          <a:lumMod val="7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Ռեզիդենտների վարկային պորտֆելը, մլրդ ՀՀ դրամ</a:t>
            </a:r>
            <a:endParaRPr lang="en-US"/>
          </a:p>
        </c:rich>
      </c:tx>
      <c:layout>
        <c:manualLayout>
          <c:xMode val="edge"/>
          <c:yMode val="edge"/>
          <c:x val="0.21342687304273883"/>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9075461361722307"/>
          <c:y val="0.16673603299587553"/>
          <c:w val="0.66364134389743334"/>
          <c:h val="0.49505280589926259"/>
        </c:manualLayout>
      </c:layout>
      <c:areaChart>
        <c:grouping val="standard"/>
        <c:varyColors val="0"/>
        <c:ser>
          <c:idx val="5"/>
          <c:order val="5"/>
          <c:tx>
            <c:strRef>
              <c:f>Sheet1!$H$1</c:f>
              <c:strCache>
                <c:ptCount val="1"/>
                <c:pt idx="0">
                  <c:v>Column1</c:v>
                </c:pt>
              </c:strCache>
            </c:strRef>
          </c:tx>
          <c:spPr>
            <a:solidFill>
              <a:schemeClr val="accent6"/>
            </a:solidFill>
            <a:ln>
              <a:noFill/>
            </a:ln>
            <a:effectLst/>
          </c:spPr>
          <c:cat>
            <c:strRef>
              <c:f>Sheet1!$B$2:$B$70</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Sheet1!$H$2:$H$70</c:f>
              <c:numCache>
                <c:formatCode>General</c:formatCode>
                <c:ptCount val="18"/>
              </c:numCache>
            </c:numRef>
          </c:val>
          <c:extLst>
            <c:ext xmlns:c16="http://schemas.microsoft.com/office/drawing/2014/chart" uri="{C3380CC4-5D6E-409C-BE32-E72D297353CC}">
              <c16:uniqueId val="{00000000-0FB7-4ACA-8D49-8A2CD8A8031D}"/>
            </c:ext>
          </c:extLst>
        </c:ser>
        <c:ser>
          <c:idx val="6"/>
          <c:order val="6"/>
          <c:tx>
            <c:strRef>
              <c:f>Sheet1!$I$1</c:f>
              <c:strCache>
                <c:ptCount val="1"/>
                <c:pt idx="0">
                  <c:v>Column2</c:v>
                </c:pt>
              </c:strCache>
            </c:strRef>
          </c:tx>
          <c:spPr>
            <a:solidFill>
              <a:schemeClr val="tx2">
                <a:lumMod val="20000"/>
                <a:lumOff val="80000"/>
                <a:alpha val="50000"/>
              </a:schemeClr>
            </a:solidFill>
            <a:ln>
              <a:noFill/>
            </a:ln>
            <a:effectLst/>
          </c:spPr>
          <c:cat>
            <c:strRef>
              <c:f>Sheet1!$B$2:$B$70</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Sheet1!$I$2:$I$70</c:f>
              <c:numCache>
                <c:formatCode>General</c:formatCode>
                <c:ptCount val="18"/>
              </c:numCache>
            </c:numRef>
          </c:val>
          <c:extLst>
            <c:ext xmlns:c16="http://schemas.microsoft.com/office/drawing/2014/chart" uri="{C3380CC4-5D6E-409C-BE32-E72D297353CC}">
              <c16:uniqueId val="{00000001-0FB7-4ACA-8D49-8A2CD8A8031D}"/>
            </c:ext>
          </c:extLst>
        </c:ser>
        <c:dLbls>
          <c:showLegendKey val="0"/>
          <c:showVal val="0"/>
          <c:showCatName val="0"/>
          <c:showSerName val="0"/>
          <c:showPercent val="0"/>
          <c:showBubbleSize val="0"/>
        </c:dLbls>
        <c:axId val="795307992"/>
        <c:axId val="795308320"/>
      </c:areaChart>
      <c:barChart>
        <c:barDir val="col"/>
        <c:grouping val="stacked"/>
        <c:varyColors val="0"/>
        <c:ser>
          <c:idx val="0"/>
          <c:order val="0"/>
          <c:tx>
            <c:strRef>
              <c:f>Sheet1!$C$1</c:f>
              <c:strCache>
                <c:ptCount val="1"/>
                <c:pt idx="0">
                  <c:v>Տնտեսության ճյուղերին ուղղված վարկեր</c:v>
                </c:pt>
              </c:strCache>
            </c:strRef>
          </c:tx>
          <c:spPr>
            <a:solidFill>
              <a:schemeClr val="accent1"/>
            </a:solidFill>
            <a:ln>
              <a:noFill/>
            </a:ln>
            <a:effectLst/>
          </c:spPr>
          <c:invertIfNegative val="0"/>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Sheet1!$C$2:$C$70</c:f>
              <c:numCache>
                <c:formatCode>0.0</c:formatCode>
                <c:ptCount val="18"/>
                <c:pt idx="0">
                  <c:v>1608.4312749999999</c:v>
                </c:pt>
                <c:pt idx="1">
                  <c:v>1616.1906629999999</c:v>
                </c:pt>
                <c:pt idx="2">
                  <c:v>1656.5625790000001</c:v>
                </c:pt>
                <c:pt idx="3">
                  <c:v>1731.211025606</c:v>
                </c:pt>
                <c:pt idx="4">
                  <c:v>1815.7468719999999</c:v>
                </c:pt>
                <c:pt idx="5">
                  <c:v>1836.2722710000003</c:v>
                </c:pt>
                <c:pt idx="6">
                  <c:v>1959.0920599999997</c:v>
                </c:pt>
                <c:pt idx="7">
                  <c:v>2091.3401699999999</c:v>
                </c:pt>
                <c:pt idx="8">
                  <c:v>2086.7286224722147</c:v>
                </c:pt>
                <c:pt idx="9">
                  <c:v>1966.5195811297567</c:v>
                </c:pt>
                <c:pt idx="10">
                  <c:v>1937.0785153998636</c:v>
                </c:pt>
                <c:pt idx="11">
                  <c:v>1942.037</c:v>
                </c:pt>
                <c:pt idx="12">
                  <c:v>2005.4380839999999</c:v>
                </c:pt>
                <c:pt idx="13">
                  <c:v>1886.193053</c:v>
                </c:pt>
                <c:pt idx="14">
                  <c:v>1865.018071</c:v>
                </c:pt>
                <c:pt idx="15">
                  <c:v>1896.1247096419504</c:v>
                </c:pt>
                <c:pt idx="16">
                  <c:v>1952.0819837726899</c:v>
                </c:pt>
                <c:pt idx="17">
                  <c:v>2003.9120680061151</c:v>
                </c:pt>
              </c:numCache>
            </c:numRef>
          </c:val>
          <c:extLst>
            <c:ext xmlns:c16="http://schemas.microsoft.com/office/drawing/2014/chart" uri="{C3380CC4-5D6E-409C-BE32-E72D297353CC}">
              <c16:uniqueId val="{00000002-0FB7-4ACA-8D49-8A2CD8A8031D}"/>
            </c:ext>
          </c:extLst>
        </c:ser>
        <c:ser>
          <c:idx val="1"/>
          <c:order val="1"/>
          <c:tx>
            <c:strRef>
              <c:f>Sheet1!$D$1</c:f>
              <c:strCache>
                <c:ptCount val="1"/>
                <c:pt idx="0">
                  <c:v>Սպառողական վարկեր</c:v>
                </c:pt>
              </c:strCache>
            </c:strRef>
          </c:tx>
          <c:spPr>
            <a:solidFill>
              <a:schemeClr val="accent2"/>
            </a:solidFill>
            <a:ln>
              <a:noFill/>
            </a:ln>
            <a:effectLst/>
          </c:spPr>
          <c:invertIfNegative val="0"/>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Sheet1!$D$2:$D$70</c:f>
              <c:numCache>
                <c:formatCode>0.0</c:formatCode>
                <c:ptCount val="18"/>
                <c:pt idx="0">
                  <c:v>744.38430143326013</c:v>
                </c:pt>
                <c:pt idx="1">
                  <c:v>795.40906700000005</c:v>
                </c:pt>
                <c:pt idx="2">
                  <c:v>846.01199800000006</c:v>
                </c:pt>
                <c:pt idx="3">
                  <c:v>915.91808300000002</c:v>
                </c:pt>
                <c:pt idx="4">
                  <c:v>951.94207299999994</c:v>
                </c:pt>
                <c:pt idx="5">
                  <c:v>955.53028000000006</c:v>
                </c:pt>
                <c:pt idx="6">
                  <c:v>960.91446799999994</c:v>
                </c:pt>
                <c:pt idx="7">
                  <c:v>929.04224399999998</c:v>
                </c:pt>
                <c:pt idx="8">
                  <c:v>915.56433019917631</c:v>
                </c:pt>
                <c:pt idx="9">
                  <c:v>871.24731988103053</c:v>
                </c:pt>
                <c:pt idx="10">
                  <c:v>833.16175229414921</c:v>
                </c:pt>
                <c:pt idx="11">
                  <c:v>824.83699999999999</c:v>
                </c:pt>
                <c:pt idx="12">
                  <c:v>834.40724999999998</c:v>
                </c:pt>
                <c:pt idx="13">
                  <c:v>828.159403</c:v>
                </c:pt>
                <c:pt idx="14">
                  <c:v>837.56598800000006</c:v>
                </c:pt>
                <c:pt idx="15">
                  <c:v>895.46070828430993</c:v>
                </c:pt>
                <c:pt idx="16">
                  <c:v>928.58755423187995</c:v>
                </c:pt>
                <c:pt idx="17">
                  <c:v>962.64040905260003</c:v>
                </c:pt>
              </c:numCache>
            </c:numRef>
          </c:val>
          <c:extLst>
            <c:ext xmlns:c16="http://schemas.microsoft.com/office/drawing/2014/chart" uri="{C3380CC4-5D6E-409C-BE32-E72D297353CC}">
              <c16:uniqueId val="{00000003-0FB7-4ACA-8D49-8A2CD8A8031D}"/>
            </c:ext>
          </c:extLst>
        </c:ser>
        <c:ser>
          <c:idx val="2"/>
          <c:order val="2"/>
          <c:tx>
            <c:strRef>
              <c:f>Sheet1!$E$1</c:f>
              <c:strCache>
                <c:ptCount val="1"/>
                <c:pt idx="0">
                  <c:v>Հիպոթեքային վարկեր</c:v>
                </c:pt>
              </c:strCache>
            </c:strRef>
          </c:tx>
          <c:spPr>
            <a:solidFill>
              <a:schemeClr val="accent3"/>
            </a:solidFill>
            <a:ln>
              <a:noFill/>
            </a:ln>
            <a:effectLst/>
          </c:spPr>
          <c:invertIfNegative val="0"/>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Sheet1!$E$2:$E$70</c:f>
              <c:numCache>
                <c:formatCode>0.0</c:formatCode>
                <c:ptCount val="18"/>
                <c:pt idx="0">
                  <c:v>270.24869000000001</c:v>
                </c:pt>
                <c:pt idx="1">
                  <c:v>295.33238899999998</c:v>
                </c:pt>
                <c:pt idx="2">
                  <c:v>321.58908500000001</c:v>
                </c:pt>
                <c:pt idx="3">
                  <c:v>358.75952899999999</c:v>
                </c:pt>
                <c:pt idx="4">
                  <c:v>394.95331799999997</c:v>
                </c:pt>
                <c:pt idx="5">
                  <c:v>404.61893999999995</c:v>
                </c:pt>
                <c:pt idx="6">
                  <c:v>441.16723500000001</c:v>
                </c:pt>
                <c:pt idx="7">
                  <c:v>481.21191599999997</c:v>
                </c:pt>
                <c:pt idx="8">
                  <c:v>517.18580457345661</c:v>
                </c:pt>
                <c:pt idx="9">
                  <c:v>551.45232219393165</c:v>
                </c:pt>
                <c:pt idx="10">
                  <c:v>587.25406379402125</c:v>
                </c:pt>
                <c:pt idx="11">
                  <c:v>654.66800000000001</c:v>
                </c:pt>
                <c:pt idx="12">
                  <c:v>698.01737800000001</c:v>
                </c:pt>
                <c:pt idx="13">
                  <c:v>721.901929</c:v>
                </c:pt>
                <c:pt idx="14">
                  <c:v>780.3971140000001</c:v>
                </c:pt>
                <c:pt idx="15">
                  <c:v>849.39562202326942</c:v>
                </c:pt>
                <c:pt idx="16">
                  <c:v>897.7484755981593</c:v>
                </c:pt>
                <c:pt idx="17">
                  <c:v>958.98347913076861</c:v>
                </c:pt>
              </c:numCache>
            </c:numRef>
          </c:val>
          <c:extLst>
            <c:ext xmlns:c16="http://schemas.microsoft.com/office/drawing/2014/chart" uri="{C3380CC4-5D6E-409C-BE32-E72D297353CC}">
              <c16:uniqueId val="{00000004-0FB7-4ACA-8D49-8A2CD8A8031D}"/>
            </c:ext>
          </c:extLst>
        </c:ser>
        <c:ser>
          <c:idx val="3"/>
          <c:order val="3"/>
          <c:tx>
            <c:strRef>
              <c:f>Sheet1!$F$1</c:f>
              <c:strCache>
                <c:ptCount val="1"/>
                <c:pt idx="0">
                  <c:v>Այլ</c:v>
                </c:pt>
              </c:strCache>
            </c:strRef>
          </c:tx>
          <c:spPr>
            <a:solidFill>
              <a:schemeClr val="accent4"/>
            </a:solidFill>
            <a:ln>
              <a:noFill/>
            </a:ln>
            <a:effectLst/>
          </c:spPr>
          <c:invertIfNegative val="0"/>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Sheet1!$F$2:$F$70</c:f>
              <c:numCache>
                <c:formatCode>0.0</c:formatCode>
                <c:ptCount val="18"/>
                <c:pt idx="0">
                  <c:v>216.54209100000003</c:v>
                </c:pt>
                <c:pt idx="1">
                  <c:v>227.567072</c:v>
                </c:pt>
                <c:pt idx="2">
                  <c:v>232.74833600000002</c:v>
                </c:pt>
                <c:pt idx="3">
                  <c:v>242.121814</c:v>
                </c:pt>
                <c:pt idx="4">
                  <c:v>248.97432500000002</c:v>
                </c:pt>
                <c:pt idx="5">
                  <c:v>258.95920799999999</c:v>
                </c:pt>
                <c:pt idx="6">
                  <c:v>256.17615900000004</c:v>
                </c:pt>
                <c:pt idx="7">
                  <c:v>233.249537</c:v>
                </c:pt>
                <c:pt idx="8">
                  <c:v>170.45870753685111</c:v>
                </c:pt>
                <c:pt idx="9">
                  <c:v>139.68690193375738</c:v>
                </c:pt>
                <c:pt idx="10">
                  <c:v>142.25712648839331</c:v>
                </c:pt>
                <c:pt idx="11">
                  <c:v>159.523</c:v>
                </c:pt>
                <c:pt idx="12">
                  <c:v>136.39778000000001</c:v>
                </c:pt>
                <c:pt idx="13">
                  <c:v>142.09570299999999</c:v>
                </c:pt>
                <c:pt idx="14">
                  <c:v>142.944087</c:v>
                </c:pt>
                <c:pt idx="15">
                  <c:v>154.99269228273002</c:v>
                </c:pt>
                <c:pt idx="16">
                  <c:v>166.44938810615997</c:v>
                </c:pt>
                <c:pt idx="17">
                  <c:v>180.29877700057</c:v>
                </c:pt>
              </c:numCache>
            </c:numRef>
          </c:val>
          <c:extLst>
            <c:ext xmlns:c16="http://schemas.microsoft.com/office/drawing/2014/chart" uri="{C3380CC4-5D6E-409C-BE32-E72D297353CC}">
              <c16:uniqueId val="{00000005-0FB7-4ACA-8D49-8A2CD8A8031D}"/>
            </c:ext>
          </c:extLst>
        </c:ser>
        <c:dLbls>
          <c:showLegendKey val="0"/>
          <c:showVal val="0"/>
          <c:showCatName val="0"/>
          <c:showSerName val="0"/>
          <c:showPercent val="0"/>
          <c:showBubbleSize val="0"/>
        </c:dLbls>
        <c:gapWidth val="150"/>
        <c:overlap val="100"/>
        <c:axId val="795307992"/>
        <c:axId val="795308320"/>
      </c:barChart>
      <c:lineChart>
        <c:grouping val="standard"/>
        <c:varyColors val="0"/>
        <c:ser>
          <c:idx val="4"/>
          <c:order val="4"/>
          <c:tx>
            <c:strRef>
              <c:f>Sheet1!$G$1</c:f>
              <c:strCache>
                <c:ptCount val="1"/>
                <c:pt idx="0">
                  <c:v>Դոլարայնացում (%, աջ առանցք)</c:v>
                </c:pt>
              </c:strCache>
            </c:strRef>
          </c:tx>
          <c:spPr>
            <a:ln w="28575" cap="rnd">
              <a:solidFill>
                <a:schemeClr val="accent5"/>
              </a:solidFill>
              <a:round/>
            </a:ln>
            <a:effectLst/>
          </c:spPr>
          <c:marker>
            <c:symbol val="none"/>
          </c:marker>
          <c:cat>
            <c:strRef>
              <c:f>Sheet1!$B$2:$B$70</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Sheet1!$G$2:$G$70</c:f>
              <c:numCache>
                <c:formatCode>0.0</c:formatCode>
                <c:ptCount val="18"/>
                <c:pt idx="0">
                  <c:v>52.518909648018365</c:v>
                </c:pt>
                <c:pt idx="1">
                  <c:v>51.391676926505028</c:v>
                </c:pt>
                <c:pt idx="2">
                  <c:v>50.509365982241782</c:v>
                </c:pt>
                <c:pt idx="3">
                  <c:v>49.322848145739393</c:v>
                </c:pt>
                <c:pt idx="4">
                  <c:v>50.124039514743281</c:v>
                </c:pt>
                <c:pt idx="5">
                  <c:v>48.479425114185922</c:v>
                </c:pt>
                <c:pt idx="6">
                  <c:v>48.137841294526851</c:v>
                </c:pt>
                <c:pt idx="7">
                  <c:v>49.511987263652472</c:v>
                </c:pt>
                <c:pt idx="8">
                  <c:v>49.360514110896666</c:v>
                </c:pt>
                <c:pt idx="9">
                  <c:v>46.436641172828367</c:v>
                </c:pt>
                <c:pt idx="10">
                  <c:v>45.230440273230847</c:v>
                </c:pt>
                <c:pt idx="11">
                  <c:v>43.773631182802802</c:v>
                </c:pt>
                <c:pt idx="12">
                  <c:v>44.228337680079136</c:v>
                </c:pt>
                <c:pt idx="13">
                  <c:v>38.958793125140616</c:v>
                </c:pt>
                <c:pt idx="14">
                  <c:v>36.988487672147144</c:v>
                </c:pt>
                <c:pt idx="15">
                  <c:v>35.590459031217357</c:v>
                </c:pt>
                <c:pt idx="16">
                  <c:v>35.416563649843262</c:v>
                </c:pt>
                <c:pt idx="17">
                  <c:v>34.174308617877578</c:v>
                </c:pt>
              </c:numCache>
            </c:numRef>
          </c:val>
          <c:smooth val="0"/>
          <c:extLst>
            <c:ext xmlns:c16="http://schemas.microsoft.com/office/drawing/2014/chart" uri="{C3380CC4-5D6E-409C-BE32-E72D297353CC}">
              <c16:uniqueId val="{00000006-0FB7-4ACA-8D49-8A2CD8A8031D}"/>
            </c:ext>
          </c:extLst>
        </c:ser>
        <c:dLbls>
          <c:showLegendKey val="0"/>
          <c:showVal val="0"/>
          <c:showCatName val="0"/>
          <c:showSerName val="0"/>
          <c:showPercent val="0"/>
          <c:showBubbleSize val="0"/>
        </c:dLbls>
        <c:marker val="1"/>
        <c:smooth val="0"/>
        <c:axId val="791721512"/>
        <c:axId val="791712984"/>
      </c:lineChart>
      <c:catAx>
        <c:axId val="79530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8320"/>
        <c:crosses val="autoZero"/>
        <c:auto val="1"/>
        <c:lblAlgn val="ctr"/>
        <c:lblOffset val="100"/>
        <c:noMultiLvlLbl val="0"/>
      </c:catAx>
      <c:valAx>
        <c:axId val="795308320"/>
        <c:scaling>
          <c:orientation val="minMax"/>
          <c:max val="4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7992"/>
        <c:crosses val="autoZero"/>
        <c:crossBetween val="between"/>
      </c:valAx>
      <c:valAx>
        <c:axId val="79171298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1721512"/>
        <c:crosses val="max"/>
        <c:crossBetween val="between"/>
      </c:valAx>
      <c:catAx>
        <c:axId val="791721512"/>
        <c:scaling>
          <c:orientation val="minMax"/>
        </c:scaling>
        <c:delete val="1"/>
        <c:axPos val="b"/>
        <c:numFmt formatCode="General" sourceLinked="1"/>
        <c:majorTickMark val="out"/>
        <c:minorTickMark val="none"/>
        <c:tickLblPos val="nextTo"/>
        <c:crossAx val="791712984"/>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1.3821309719462644E-2"/>
          <c:y val="0.78860767404074494"/>
          <c:w val="0.98481843975110583"/>
          <c:h val="0.21139232595925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Բանկերի ավանդային պորտֆելը, մլրդ ՀՀ դրամ</a:t>
            </a:r>
            <a:endParaRPr lang="en-US"/>
          </a:p>
        </c:rich>
      </c:tx>
      <c:layout>
        <c:manualLayout>
          <c:xMode val="edge"/>
          <c:yMode val="edge"/>
          <c:x val="0.14877753917123998"/>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8642106100373818"/>
          <c:y val="0.16673603299587553"/>
          <c:w val="0.67208717092181658"/>
          <c:h val="0.47087957755280591"/>
        </c:manualLayout>
      </c:layout>
      <c:areaChart>
        <c:grouping val="standard"/>
        <c:varyColors val="0"/>
        <c:ser>
          <c:idx val="3"/>
          <c:order val="3"/>
          <c:tx>
            <c:strRef>
              <c:f>Sheet1!$F$1</c:f>
              <c:strCache>
                <c:ptCount val="1"/>
                <c:pt idx="0">
                  <c:v>Column1</c:v>
                </c:pt>
              </c:strCache>
            </c:strRef>
          </c:tx>
          <c:spPr>
            <a:solidFill>
              <a:schemeClr val="accent4"/>
            </a:solidFill>
            <a:ln>
              <a:noFill/>
            </a:ln>
            <a:effectLst/>
          </c:spPr>
          <c:cat>
            <c:strRef>
              <c:f>Sheet1!$B$2:$B$70</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Sheet1!$F$2:$F$70</c:f>
              <c:numCache>
                <c:formatCode>General</c:formatCode>
                <c:ptCount val="18"/>
              </c:numCache>
            </c:numRef>
          </c:val>
          <c:extLst>
            <c:ext xmlns:c16="http://schemas.microsoft.com/office/drawing/2014/chart" uri="{C3380CC4-5D6E-409C-BE32-E72D297353CC}">
              <c16:uniqueId val="{00000000-E547-4910-9C30-90E6BB8BC77C}"/>
            </c:ext>
          </c:extLst>
        </c:ser>
        <c:dLbls>
          <c:showLegendKey val="0"/>
          <c:showVal val="0"/>
          <c:showCatName val="0"/>
          <c:showSerName val="0"/>
          <c:showPercent val="0"/>
          <c:showBubbleSize val="0"/>
        </c:dLbls>
        <c:axId val="1076518064"/>
        <c:axId val="1076521016"/>
      </c:areaChart>
      <c:barChart>
        <c:barDir val="col"/>
        <c:grouping val="stacked"/>
        <c:varyColors val="0"/>
        <c:ser>
          <c:idx val="0"/>
          <c:order val="0"/>
          <c:tx>
            <c:strRef>
              <c:f>Sheet1!$C$1</c:f>
              <c:strCache>
                <c:ptCount val="1"/>
                <c:pt idx="0">
                  <c:v>Ռեզիդենտների ավանդներ</c:v>
                </c:pt>
              </c:strCache>
            </c:strRef>
          </c:tx>
          <c:spPr>
            <a:solidFill>
              <a:schemeClr val="accent1"/>
            </a:solidFill>
            <a:ln>
              <a:noFill/>
            </a:ln>
            <a:effectLst/>
          </c:spPr>
          <c:invertIfNegative val="0"/>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Sheet1!$C$2:$C$70</c:f>
              <c:numCache>
                <c:formatCode>0.0</c:formatCode>
                <c:ptCount val="18"/>
                <c:pt idx="0">
                  <c:v>2227.6582098797699</c:v>
                </c:pt>
                <c:pt idx="1">
                  <c:v>2276.6775936783097</c:v>
                </c:pt>
                <c:pt idx="2">
                  <c:v>2355.6432610980196</c:v>
                </c:pt>
                <c:pt idx="3">
                  <c:v>2521.5284105547203</c:v>
                </c:pt>
                <c:pt idx="4">
                  <c:v>2540.5774855170202</c:v>
                </c:pt>
                <c:pt idx="5">
                  <c:v>2541.02599025066</c:v>
                </c:pt>
                <c:pt idx="6">
                  <c:v>2640.7820000000002</c:v>
                </c:pt>
                <c:pt idx="7">
                  <c:v>2675.0673828122303</c:v>
                </c:pt>
                <c:pt idx="8">
                  <c:v>2793.6608505633803</c:v>
                </c:pt>
                <c:pt idx="9">
                  <c:v>2836.3239767365799</c:v>
                </c:pt>
                <c:pt idx="10">
                  <c:v>2969.7320835893697</c:v>
                </c:pt>
                <c:pt idx="11">
                  <c:v>3144.9699810905099</c:v>
                </c:pt>
                <c:pt idx="12">
                  <c:v>3157.9293703593098</c:v>
                </c:pt>
                <c:pt idx="13">
                  <c:v>3127.58012159178</c:v>
                </c:pt>
                <c:pt idx="14">
                  <c:v>3359.6420501932998</c:v>
                </c:pt>
                <c:pt idx="15">
                  <c:v>3694.09499741116</c:v>
                </c:pt>
                <c:pt idx="16">
                  <c:v>3815.1625054040496</c:v>
                </c:pt>
                <c:pt idx="17">
                  <c:v>3876.1891963166695</c:v>
                </c:pt>
              </c:numCache>
            </c:numRef>
          </c:val>
          <c:extLst>
            <c:ext xmlns:c16="http://schemas.microsoft.com/office/drawing/2014/chart" uri="{C3380CC4-5D6E-409C-BE32-E72D297353CC}">
              <c16:uniqueId val="{00000001-E547-4910-9C30-90E6BB8BC77C}"/>
            </c:ext>
          </c:extLst>
        </c:ser>
        <c:ser>
          <c:idx val="1"/>
          <c:order val="1"/>
          <c:tx>
            <c:strRef>
              <c:f>Sheet1!$D$1</c:f>
              <c:strCache>
                <c:ptCount val="1"/>
                <c:pt idx="0">
                  <c:v>Ոչ ռեզիդենտների ավանդներ</c:v>
                </c:pt>
              </c:strCache>
            </c:strRef>
          </c:tx>
          <c:spPr>
            <a:solidFill>
              <a:schemeClr val="accent2"/>
            </a:solidFill>
            <a:ln>
              <a:noFill/>
            </a:ln>
            <a:effectLst/>
          </c:spPr>
          <c:invertIfNegative val="0"/>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Sheet1!$D$2:$D$70</c:f>
              <c:numCache>
                <c:formatCode>0.0</c:formatCode>
                <c:ptCount val="18"/>
                <c:pt idx="0">
                  <c:v>751.71176640482997</c:v>
                </c:pt>
                <c:pt idx="1">
                  <c:v>813.91228849313006</c:v>
                </c:pt>
                <c:pt idx="2">
                  <c:v>916.44940017773001</c:v>
                </c:pt>
                <c:pt idx="3">
                  <c:v>1046.67857400558</c:v>
                </c:pt>
                <c:pt idx="4">
                  <c:v>988.57440186903023</c:v>
                </c:pt>
                <c:pt idx="5">
                  <c:v>915.01734963612</c:v>
                </c:pt>
                <c:pt idx="6">
                  <c:v>929.87400000000002</c:v>
                </c:pt>
                <c:pt idx="7">
                  <c:v>1033.95275626177</c:v>
                </c:pt>
                <c:pt idx="8">
                  <c:v>908.42658679641988</c:v>
                </c:pt>
                <c:pt idx="9">
                  <c:v>933.42867996081998</c:v>
                </c:pt>
                <c:pt idx="10">
                  <c:v>884.54700956330009</c:v>
                </c:pt>
                <c:pt idx="11">
                  <c:v>879.64579740889997</c:v>
                </c:pt>
                <c:pt idx="12">
                  <c:v>825.37567642600982</c:v>
                </c:pt>
                <c:pt idx="13">
                  <c:v>944.66289364885984</c:v>
                </c:pt>
                <c:pt idx="14">
                  <c:v>1121.91741065579</c:v>
                </c:pt>
                <c:pt idx="15">
                  <c:v>1428.48444855512</c:v>
                </c:pt>
                <c:pt idx="16">
                  <c:v>1276.6676620578501</c:v>
                </c:pt>
                <c:pt idx="17">
                  <c:v>1307.3610793673802</c:v>
                </c:pt>
              </c:numCache>
            </c:numRef>
          </c:val>
          <c:extLst>
            <c:ext xmlns:c16="http://schemas.microsoft.com/office/drawing/2014/chart" uri="{C3380CC4-5D6E-409C-BE32-E72D297353CC}">
              <c16:uniqueId val="{00000002-E547-4910-9C30-90E6BB8BC77C}"/>
            </c:ext>
          </c:extLst>
        </c:ser>
        <c:dLbls>
          <c:showLegendKey val="0"/>
          <c:showVal val="0"/>
          <c:showCatName val="0"/>
          <c:showSerName val="0"/>
          <c:showPercent val="0"/>
          <c:showBubbleSize val="0"/>
        </c:dLbls>
        <c:gapWidth val="150"/>
        <c:overlap val="100"/>
        <c:axId val="1076518064"/>
        <c:axId val="1076521016"/>
      </c:barChart>
      <c:lineChart>
        <c:grouping val="standard"/>
        <c:varyColors val="0"/>
        <c:ser>
          <c:idx val="2"/>
          <c:order val="2"/>
          <c:tx>
            <c:strRef>
              <c:f>Sheet1!$E$1</c:f>
              <c:strCache>
                <c:ptCount val="1"/>
                <c:pt idx="0">
                  <c:v>Դոլարայնացում (%, աջ առանցք)</c:v>
                </c:pt>
              </c:strCache>
            </c:strRef>
          </c:tx>
          <c:spPr>
            <a:ln w="28575" cap="rnd">
              <a:solidFill>
                <a:schemeClr val="accent5"/>
              </a:solidFill>
              <a:round/>
            </a:ln>
            <a:effectLst/>
          </c:spPr>
          <c:marker>
            <c:symbol val="none"/>
          </c:marker>
          <c:cat>
            <c:strRef>
              <c:f>Sheet1!$B$2:$B$70</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Sheet1!$E$2:$E$70</c:f>
              <c:numCache>
                <c:formatCode>0.0</c:formatCode>
                <c:ptCount val="18"/>
                <c:pt idx="0">
                  <c:v>60.129216759660729</c:v>
                </c:pt>
                <c:pt idx="1">
                  <c:v>59.211480271428584</c:v>
                </c:pt>
                <c:pt idx="2">
                  <c:v>59.405249421429509</c:v>
                </c:pt>
                <c:pt idx="3">
                  <c:v>57.609308749984066</c:v>
                </c:pt>
                <c:pt idx="4">
                  <c:v>56.983245785623971</c:v>
                </c:pt>
                <c:pt idx="5">
                  <c:v>54.046410207100045</c:v>
                </c:pt>
                <c:pt idx="6">
                  <c:v>53.378649147693693</c:v>
                </c:pt>
                <c:pt idx="7">
                  <c:v>54.464545081502891</c:v>
                </c:pt>
                <c:pt idx="8">
                  <c:v>53.22193901071163</c:v>
                </c:pt>
                <c:pt idx="9">
                  <c:v>52.148366016875549</c:v>
                </c:pt>
                <c:pt idx="10">
                  <c:v>51.044929965929676</c:v>
                </c:pt>
                <c:pt idx="11">
                  <c:v>50.002711393128706</c:v>
                </c:pt>
                <c:pt idx="12">
                  <c:v>50.387948204205976</c:v>
                </c:pt>
                <c:pt idx="13">
                  <c:v>50.383284880867492</c:v>
                </c:pt>
                <c:pt idx="14">
                  <c:v>53.173295648147914</c:v>
                </c:pt>
                <c:pt idx="15">
                  <c:v>55.144855057658283</c:v>
                </c:pt>
                <c:pt idx="16">
                  <c:v>53.570558762946419</c:v>
                </c:pt>
                <c:pt idx="17">
                  <c:v>51.683860715465279</c:v>
                </c:pt>
              </c:numCache>
            </c:numRef>
          </c:val>
          <c:smooth val="0"/>
          <c:extLst>
            <c:ext xmlns:c16="http://schemas.microsoft.com/office/drawing/2014/chart" uri="{C3380CC4-5D6E-409C-BE32-E72D297353CC}">
              <c16:uniqueId val="{00000003-E547-4910-9C30-90E6BB8BC77C}"/>
            </c:ext>
          </c:extLst>
        </c:ser>
        <c:dLbls>
          <c:showLegendKey val="0"/>
          <c:showVal val="0"/>
          <c:showCatName val="0"/>
          <c:showSerName val="0"/>
          <c:showPercent val="0"/>
          <c:showBubbleSize val="0"/>
        </c:dLbls>
        <c:marker val="1"/>
        <c:smooth val="0"/>
        <c:axId val="1076425896"/>
        <c:axId val="1076425240"/>
      </c:lineChart>
      <c:catAx>
        <c:axId val="107651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21016"/>
        <c:crosses val="autoZero"/>
        <c:auto val="1"/>
        <c:lblAlgn val="ctr"/>
        <c:lblOffset val="100"/>
        <c:noMultiLvlLbl val="0"/>
      </c:catAx>
      <c:valAx>
        <c:axId val="1076521016"/>
        <c:scaling>
          <c:orientation val="minMax"/>
          <c:max val="6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18064"/>
        <c:crosses val="autoZero"/>
        <c:crossBetween val="between"/>
      </c:valAx>
      <c:valAx>
        <c:axId val="107642524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425896"/>
        <c:crosses val="max"/>
        <c:crossBetween val="between"/>
      </c:valAx>
      <c:catAx>
        <c:axId val="1076425896"/>
        <c:scaling>
          <c:orientation val="minMax"/>
        </c:scaling>
        <c:delete val="1"/>
        <c:axPos val="b"/>
        <c:numFmt formatCode="General" sourceLinked="1"/>
        <c:majorTickMark val="out"/>
        <c:minorTickMark val="none"/>
        <c:tickLblPos val="nextTo"/>
        <c:crossAx val="107642524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
          <c:y val="0.78030746156730413"/>
          <c:w val="0.98709106816193426"/>
          <c:h val="0.2196925384326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ծավալները, մլրդ դրամ</a:t>
            </a:r>
            <a:endParaRPr lang="en-US" sz="100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888212480902575"/>
          <c:y val="0.14718253968253969"/>
          <c:w val="0.73668351157597833"/>
          <c:h val="0.53903230846144234"/>
        </c:manualLayout>
      </c:layout>
      <c:areaChart>
        <c:grouping val="standard"/>
        <c:varyColors val="0"/>
        <c:ser>
          <c:idx val="4"/>
          <c:order val="4"/>
          <c:tx>
            <c:strRef>
              <c:f>Sheet1!$F$1</c:f>
              <c:strCache>
                <c:ptCount val="1"/>
              </c:strCache>
            </c:strRef>
          </c:tx>
          <c:spPr>
            <a:solidFill>
              <a:schemeClr val="accent5"/>
            </a:solidFill>
            <a:ln>
              <a:noFill/>
            </a:ln>
            <a:effectLst/>
          </c:spPr>
          <c:cat>
            <c:strRef>
              <c:f>Sheet1!$A$2:$A$9</c:f>
              <c:strCache>
                <c:ptCount val="8"/>
                <c:pt idx="0">
                  <c:v>2018</c:v>
                </c:pt>
                <c:pt idx="1">
                  <c:v>2019</c:v>
                </c:pt>
                <c:pt idx="2">
                  <c:v>2020</c:v>
                </c:pt>
                <c:pt idx="3">
                  <c:v>2021</c:v>
                </c:pt>
                <c:pt idx="4">
                  <c:v>2022</c:v>
                </c:pt>
                <c:pt idx="6">
                  <c:v>2022 I կիս.</c:v>
                </c:pt>
                <c:pt idx="7">
                  <c:v>2023 I կիս.</c:v>
                </c:pt>
              </c:strCache>
            </c:strRef>
          </c:cat>
          <c:val>
            <c:numRef>
              <c:f>Sheet1!$F$2:$F$9</c:f>
              <c:numCache>
                <c:formatCode>General</c:formatCode>
                <c:ptCount val="8"/>
                <c:pt idx="6">
                  <c:v>0</c:v>
                </c:pt>
                <c:pt idx="7">
                  <c:v>0</c:v>
                </c:pt>
              </c:numCache>
            </c:numRef>
          </c:val>
          <c:extLst>
            <c:ext xmlns:c16="http://schemas.microsoft.com/office/drawing/2014/chart" uri="{C3380CC4-5D6E-409C-BE32-E72D297353CC}">
              <c16:uniqueId val="{00000000-B58D-4C3F-9FDB-6C777FF30861}"/>
            </c:ext>
          </c:extLst>
        </c:ser>
        <c:dLbls>
          <c:showLegendKey val="0"/>
          <c:showVal val="0"/>
          <c:showCatName val="0"/>
          <c:showSerName val="0"/>
          <c:showPercent val="0"/>
          <c:showBubbleSize val="0"/>
        </c:dLbls>
        <c:axId val="1045060968"/>
        <c:axId val="1045061296"/>
      </c:areaChart>
      <c:barChart>
        <c:barDir val="col"/>
        <c:grouping val="clustered"/>
        <c:varyColors val="0"/>
        <c:ser>
          <c:idx val="0"/>
          <c:order val="0"/>
          <c:tx>
            <c:strRef>
              <c:f>Sheet1!$B$1</c:f>
              <c:strCache>
                <c:ptCount val="1"/>
                <c:pt idx="0">
                  <c:v>Տեղաբաշխման ենթակա ծավալ</c:v>
                </c:pt>
              </c:strCache>
            </c:strRef>
          </c:tx>
          <c:spPr>
            <a:solidFill>
              <a:schemeClr val="accent1"/>
            </a:solidFill>
            <a:ln>
              <a:noFill/>
            </a:ln>
            <a:effectLst/>
          </c:spPr>
          <c:invertIfNegative val="0"/>
          <c:cat>
            <c:strRef>
              <c:f>Sheet1!$A$2:$A$9</c:f>
              <c:strCache>
                <c:ptCount val="8"/>
                <c:pt idx="0">
                  <c:v>2018</c:v>
                </c:pt>
                <c:pt idx="1">
                  <c:v>2019</c:v>
                </c:pt>
                <c:pt idx="2">
                  <c:v>2020</c:v>
                </c:pt>
                <c:pt idx="3">
                  <c:v>2021</c:v>
                </c:pt>
                <c:pt idx="4">
                  <c:v>2022</c:v>
                </c:pt>
                <c:pt idx="6">
                  <c:v>2022 I կիս.</c:v>
                </c:pt>
                <c:pt idx="7">
                  <c:v>2023 I կիս.</c:v>
                </c:pt>
              </c:strCache>
            </c:strRef>
          </c:cat>
          <c:val>
            <c:numRef>
              <c:f>Sheet1!$B$2:$B$9</c:f>
            </c:numRef>
          </c:val>
          <c:extLst>
            <c:ext xmlns:c16="http://schemas.microsoft.com/office/drawing/2014/chart" uri="{C3380CC4-5D6E-409C-BE32-E72D297353CC}">
              <c16:uniqueId val="{00000001-B58D-4C3F-9FDB-6C777FF30861}"/>
            </c:ext>
          </c:extLst>
        </c:ser>
        <c:ser>
          <c:idx val="1"/>
          <c:order val="1"/>
          <c:tx>
            <c:strRef>
              <c:f>Sheet1!$C$1</c:f>
              <c:strCache>
                <c:ptCount val="1"/>
                <c:pt idx="0">
                  <c:v>Տեղաբաշխված ծավալ</c:v>
                </c:pt>
              </c:strCache>
            </c:strRef>
          </c:tx>
          <c:spPr>
            <a:solidFill>
              <a:schemeClr val="accent2"/>
            </a:solidFill>
            <a:ln>
              <a:noFill/>
            </a:ln>
            <a:effectLst/>
          </c:spPr>
          <c:invertIfNegative val="0"/>
          <c:cat>
            <c:strRef>
              <c:f>Sheet1!$A$2:$A$9</c:f>
              <c:strCache>
                <c:ptCount val="8"/>
                <c:pt idx="0">
                  <c:v>2018</c:v>
                </c:pt>
                <c:pt idx="1">
                  <c:v>2019</c:v>
                </c:pt>
                <c:pt idx="2">
                  <c:v>2020</c:v>
                </c:pt>
                <c:pt idx="3">
                  <c:v>2021</c:v>
                </c:pt>
                <c:pt idx="4">
                  <c:v>2022</c:v>
                </c:pt>
                <c:pt idx="6">
                  <c:v>2022 I կիս.</c:v>
                </c:pt>
                <c:pt idx="7">
                  <c:v>2023 I կիս.</c:v>
                </c:pt>
              </c:strCache>
            </c:strRef>
          </c:cat>
          <c:val>
            <c:numRef>
              <c:f>Sheet1!$C$2:$C$9</c:f>
              <c:numCache>
                <c:formatCode>0.0</c:formatCode>
                <c:ptCount val="8"/>
                <c:pt idx="0">
                  <c:v>153.97480999999999</c:v>
                </c:pt>
                <c:pt idx="1">
                  <c:v>206.54629800000001</c:v>
                </c:pt>
                <c:pt idx="2">
                  <c:v>388.28811999999999</c:v>
                </c:pt>
                <c:pt idx="3">
                  <c:v>394.31375400000002</c:v>
                </c:pt>
                <c:pt idx="4">
                  <c:v>435.92769399999997</c:v>
                </c:pt>
                <c:pt idx="6">
                  <c:v>245.174665</c:v>
                </c:pt>
                <c:pt idx="7">
                  <c:v>319.30486200000001</c:v>
                </c:pt>
              </c:numCache>
            </c:numRef>
          </c:val>
          <c:extLst>
            <c:ext xmlns:c16="http://schemas.microsoft.com/office/drawing/2014/chart" uri="{C3380CC4-5D6E-409C-BE32-E72D297353CC}">
              <c16:uniqueId val="{00000002-B58D-4C3F-9FDB-6C777FF30861}"/>
            </c:ext>
          </c:extLst>
        </c:ser>
        <c:ser>
          <c:idx val="2"/>
          <c:order val="2"/>
          <c:tx>
            <c:strRef>
              <c:f>Sheet1!$D$1</c:f>
              <c:strCache>
                <c:ptCount val="1"/>
                <c:pt idx="0">
                  <c:v>Պահանջարկ</c:v>
                </c:pt>
              </c:strCache>
            </c:strRef>
          </c:tx>
          <c:spPr>
            <a:solidFill>
              <a:schemeClr val="accent3"/>
            </a:solidFill>
            <a:ln>
              <a:noFill/>
            </a:ln>
            <a:effectLst/>
          </c:spPr>
          <c:invertIfNegative val="0"/>
          <c:cat>
            <c:strRef>
              <c:f>Sheet1!$A$2:$A$9</c:f>
              <c:strCache>
                <c:ptCount val="8"/>
                <c:pt idx="0">
                  <c:v>2018</c:v>
                </c:pt>
                <c:pt idx="1">
                  <c:v>2019</c:v>
                </c:pt>
                <c:pt idx="2">
                  <c:v>2020</c:v>
                </c:pt>
                <c:pt idx="3">
                  <c:v>2021</c:v>
                </c:pt>
                <c:pt idx="4">
                  <c:v>2022</c:v>
                </c:pt>
                <c:pt idx="6">
                  <c:v>2022 I կիս.</c:v>
                </c:pt>
                <c:pt idx="7">
                  <c:v>2023 I կիս.</c:v>
                </c:pt>
              </c:strCache>
            </c:strRef>
          </c:cat>
          <c:val>
            <c:numRef>
              <c:f>Sheet1!$D$2:$D$9</c:f>
              <c:numCache>
                <c:formatCode>0.0</c:formatCode>
                <c:ptCount val="8"/>
                <c:pt idx="0">
                  <c:v>288.98665999999997</c:v>
                </c:pt>
                <c:pt idx="1">
                  <c:v>430.330288</c:v>
                </c:pt>
                <c:pt idx="2">
                  <c:v>781.72255000000007</c:v>
                </c:pt>
                <c:pt idx="3">
                  <c:v>751.11215400000003</c:v>
                </c:pt>
                <c:pt idx="4">
                  <c:v>882.73538799999994</c:v>
                </c:pt>
                <c:pt idx="6">
                  <c:v>480.20286499999997</c:v>
                </c:pt>
                <c:pt idx="7">
                  <c:v>676.35087899999996</c:v>
                </c:pt>
              </c:numCache>
            </c:numRef>
          </c:val>
          <c:extLst>
            <c:ext xmlns:c16="http://schemas.microsoft.com/office/drawing/2014/chart" uri="{C3380CC4-5D6E-409C-BE32-E72D297353CC}">
              <c16:uniqueId val="{00000003-B58D-4C3F-9FDB-6C777FF30861}"/>
            </c:ext>
          </c:extLst>
        </c:ser>
        <c:dLbls>
          <c:showLegendKey val="0"/>
          <c:showVal val="0"/>
          <c:showCatName val="0"/>
          <c:showSerName val="0"/>
          <c:showPercent val="0"/>
          <c:showBubbleSize val="0"/>
        </c:dLbls>
        <c:gapWidth val="219"/>
        <c:overlap val="-27"/>
        <c:axId val="1045060968"/>
        <c:axId val="1045061296"/>
      </c:barChart>
      <c:lineChart>
        <c:grouping val="standard"/>
        <c:varyColors val="0"/>
        <c:ser>
          <c:idx val="3"/>
          <c:order val="3"/>
          <c:tx>
            <c:strRef>
              <c:f>Sheet1!$E$1</c:f>
              <c:strCache>
                <c:ptCount val="1"/>
                <c:pt idx="0">
                  <c:v>Պահանջարկ/տեղաբաշխված ծավալ (%, աջ առանցք) </c:v>
                </c:pt>
              </c:strCache>
            </c:strRef>
          </c:tx>
          <c:spPr>
            <a:ln w="28575" cap="rnd">
              <a:solidFill>
                <a:schemeClr val="accent4"/>
              </a:solidFill>
              <a:round/>
            </a:ln>
            <a:effectLst/>
          </c:spPr>
          <c:marker>
            <c:symbol val="none"/>
          </c:marker>
          <c:cat>
            <c:strRef>
              <c:f>Sheet1!$A$2:$A$9</c:f>
              <c:strCache>
                <c:ptCount val="8"/>
                <c:pt idx="0">
                  <c:v>2018</c:v>
                </c:pt>
                <c:pt idx="1">
                  <c:v>2019</c:v>
                </c:pt>
                <c:pt idx="2">
                  <c:v>2020</c:v>
                </c:pt>
                <c:pt idx="3">
                  <c:v>2021</c:v>
                </c:pt>
                <c:pt idx="4">
                  <c:v>2022</c:v>
                </c:pt>
                <c:pt idx="6">
                  <c:v>2022 I կիս.</c:v>
                </c:pt>
                <c:pt idx="7">
                  <c:v>2023 I կիս.</c:v>
                </c:pt>
              </c:strCache>
            </c:strRef>
          </c:cat>
          <c:val>
            <c:numRef>
              <c:f>Sheet1!$E$2:$E$9</c:f>
              <c:numCache>
                <c:formatCode>0.0</c:formatCode>
                <c:ptCount val="8"/>
                <c:pt idx="0">
                  <c:v>1.8768437512603522</c:v>
                </c:pt>
                <c:pt idx="1">
                  <c:v>2.0834567947569798</c:v>
                </c:pt>
                <c:pt idx="2">
                  <c:v>2.0132538435633829</c:v>
                </c:pt>
                <c:pt idx="3">
                  <c:v>1.9048591290072017</c:v>
                </c:pt>
                <c:pt idx="4">
                  <c:v>2.0249582675057116</c:v>
                </c:pt>
                <c:pt idx="6">
                  <c:v>1.9586153610121175</c:v>
                </c:pt>
                <c:pt idx="7">
                  <c:v>2.1181978713496696</c:v>
                </c:pt>
              </c:numCache>
            </c:numRef>
          </c:val>
          <c:smooth val="0"/>
          <c:extLst>
            <c:ext xmlns:c16="http://schemas.microsoft.com/office/drawing/2014/chart" uri="{C3380CC4-5D6E-409C-BE32-E72D297353CC}">
              <c16:uniqueId val="{00000004-B58D-4C3F-9FDB-6C777FF30861}"/>
            </c:ext>
          </c:extLst>
        </c:ser>
        <c:dLbls>
          <c:showLegendKey val="0"/>
          <c:showVal val="0"/>
          <c:showCatName val="0"/>
          <c:showSerName val="0"/>
          <c:showPercent val="0"/>
          <c:showBubbleSize val="0"/>
        </c:dLbls>
        <c:marker val="1"/>
        <c:smooth val="0"/>
        <c:axId val="1045117712"/>
        <c:axId val="1045118040"/>
      </c:lineChart>
      <c:catAx>
        <c:axId val="104506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1296"/>
        <c:crosses val="autoZero"/>
        <c:auto val="1"/>
        <c:lblAlgn val="ctr"/>
        <c:lblOffset val="100"/>
        <c:noMultiLvlLbl val="0"/>
      </c:catAx>
      <c:valAx>
        <c:axId val="1045061296"/>
        <c:scaling>
          <c:orientation val="minMax"/>
          <c:max val="1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0968"/>
        <c:crosses val="autoZero"/>
        <c:crossBetween val="between"/>
      </c:valAx>
      <c:valAx>
        <c:axId val="1045118040"/>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117712"/>
        <c:crosses val="max"/>
        <c:crossBetween val="between"/>
      </c:valAx>
      <c:catAx>
        <c:axId val="1045117712"/>
        <c:scaling>
          <c:orientation val="minMax"/>
        </c:scaling>
        <c:delete val="1"/>
        <c:axPos val="b"/>
        <c:numFmt formatCode="General" sourceLinked="1"/>
        <c:majorTickMark val="out"/>
        <c:minorTickMark val="none"/>
        <c:tickLblPos val="nextTo"/>
        <c:crossAx val="104511804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
          <c:y val="0.79811273590801168"/>
          <c:w val="0.89307478356250247"/>
          <c:h val="0.191995688038995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եկամտաբերությունները, </a:t>
            </a:r>
            <a:r>
              <a:rPr lang="en-US" sz="1000"/>
              <a:t>%</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areaChart>
        <c:grouping val="standard"/>
        <c:varyColors val="0"/>
        <c:ser>
          <c:idx val="3"/>
          <c:order val="3"/>
          <c:tx>
            <c:strRef>
              <c:f>Sheet1!$F$1</c:f>
              <c:strCache>
                <c:ptCount val="1"/>
                <c:pt idx="0">
                  <c:v>Column1</c:v>
                </c:pt>
              </c:strCache>
            </c:strRef>
          </c:tx>
          <c:spPr>
            <a:solidFill>
              <a:schemeClr val="accent4"/>
            </a:solidFill>
            <a:ln w="25400">
              <a:noFill/>
            </a:ln>
            <a:effectLst/>
          </c:spPr>
          <c:cat>
            <c:strRef>
              <c:f>Sheet1!$B$2:$B$31</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Sheet1!$F$2:$F$31</c:f>
            </c:numRef>
          </c:val>
          <c:extLst>
            <c:ext xmlns:c16="http://schemas.microsoft.com/office/drawing/2014/chart" uri="{C3380CC4-5D6E-409C-BE32-E72D297353CC}">
              <c16:uniqueId val="{00000000-E44D-45E7-8495-AB257D02F2A2}"/>
            </c:ext>
          </c:extLst>
        </c:ser>
        <c:dLbls>
          <c:showLegendKey val="0"/>
          <c:showVal val="0"/>
          <c:showCatName val="0"/>
          <c:showSerName val="0"/>
          <c:showPercent val="0"/>
          <c:showBubbleSize val="0"/>
        </c:dLbls>
        <c:axId val="1045019312"/>
        <c:axId val="1045012424"/>
      </c:areaChart>
      <c:lineChart>
        <c:grouping val="standard"/>
        <c:varyColors val="0"/>
        <c:ser>
          <c:idx val="0"/>
          <c:order val="0"/>
          <c:tx>
            <c:strRef>
              <c:f>Sheet1!$C$1</c:f>
              <c:strCache>
                <c:ptCount val="1"/>
                <c:pt idx="0">
                  <c:v>Կարճաժամկետ ՊՊ</c:v>
                </c:pt>
              </c:strCache>
            </c:strRef>
          </c:tx>
          <c:spPr>
            <a:ln w="28575" cap="rnd">
              <a:noFill/>
              <a:round/>
            </a:ln>
            <a:effectLst/>
          </c:spPr>
          <c:marker>
            <c:symbol val="circle"/>
            <c:size val="5"/>
            <c:spPr>
              <a:solidFill>
                <a:schemeClr val="accent1"/>
              </a:solidFill>
              <a:ln w="9525">
                <a:noFill/>
              </a:ln>
              <a:effectLst/>
            </c:spPr>
          </c:marker>
          <c:cat>
            <c:multiLvlStrRef>
              <c:f>Sheet1!$A$14:$B$31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Sheet1!$C$2:$C$31</c:f>
              <c:numCache>
                <c:formatCode>0.0</c:formatCode>
                <c:ptCount val="18"/>
                <c:pt idx="0">
                  <c:v>6.1641493589904606</c:v>
                </c:pt>
                <c:pt idx="1">
                  <c:v>5.9442266126922192</c:v>
                </c:pt>
                <c:pt idx="2">
                  <c:v>5.8874555555555554</c:v>
                </c:pt>
                <c:pt idx="3">
                  <c:v>5.6843055555555546</c:v>
                </c:pt>
                <c:pt idx="4">
                  <c:v>5.5882862733333338</c:v>
                </c:pt>
                <c:pt idx="5">
                  <c:v>5.7439622626262627</c:v>
                </c:pt>
                <c:pt idx="6">
                  <c:v>5.6253015530933972</c:v>
                </c:pt>
                <c:pt idx="7">
                  <c:v>5.9185325342230302</c:v>
                </c:pt>
                <c:pt idx="8">
                  <c:v>6.854926799557032</c:v>
                </c:pt>
                <c:pt idx="9">
                  <c:v>7.1024616710317856</c:v>
                </c:pt>
                <c:pt idx="10">
                  <c:v>8.1943352976190482</c:v>
                </c:pt>
                <c:pt idx="11">
                  <c:v>8.8495017574280173</c:v>
                </c:pt>
                <c:pt idx="12">
                  <c:v>9.3270733333333329</c:v>
                </c:pt>
                <c:pt idx="13">
                  <c:v>10.475233333333334</c:v>
                </c:pt>
                <c:pt idx="14">
                  <c:v>10.657266666666667</c:v>
                </c:pt>
                <c:pt idx="15">
                  <c:v>11.512319015843817</c:v>
                </c:pt>
                <c:pt idx="16">
                  <c:v>11.547410698477101</c:v>
                </c:pt>
                <c:pt idx="17">
                  <c:v>11.433027414054733</c:v>
                </c:pt>
              </c:numCache>
            </c:numRef>
          </c:val>
          <c:smooth val="0"/>
          <c:extLst>
            <c:ext xmlns:c16="http://schemas.microsoft.com/office/drawing/2014/chart" uri="{C3380CC4-5D6E-409C-BE32-E72D297353CC}">
              <c16:uniqueId val="{00000001-E44D-45E7-8495-AB257D02F2A2}"/>
            </c:ext>
          </c:extLst>
        </c:ser>
        <c:ser>
          <c:idx val="1"/>
          <c:order val="1"/>
          <c:tx>
            <c:strRef>
              <c:f>Sheet1!$D$1</c:f>
              <c:strCache>
                <c:ptCount val="1"/>
                <c:pt idx="0">
                  <c:v>Միջնաժամկետ ՊՊ</c:v>
                </c:pt>
              </c:strCache>
            </c:strRef>
          </c:tx>
          <c:spPr>
            <a:ln w="28575" cap="rnd">
              <a:noFill/>
              <a:round/>
            </a:ln>
            <a:effectLst/>
          </c:spPr>
          <c:marker>
            <c:symbol val="circle"/>
            <c:size val="5"/>
            <c:spPr>
              <a:solidFill>
                <a:schemeClr val="accent2"/>
              </a:solidFill>
              <a:ln w="9525">
                <a:solidFill>
                  <a:schemeClr val="accent2"/>
                </a:solidFill>
              </a:ln>
              <a:effectLst/>
            </c:spPr>
          </c:marker>
          <c:cat>
            <c:multiLvlStrRef>
              <c:f>Sheet1!$A$14:$B$31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Sheet1!$D$2:$D$31</c:f>
              <c:numCache>
                <c:formatCode>0.0</c:formatCode>
                <c:ptCount val="18"/>
                <c:pt idx="0">
                  <c:v>8.3414999999999999</c:v>
                </c:pt>
                <c:pt idx="1">
                  <c:v>7.8353999999999999</c:v>
                </c:pt>
                <c:pt idx="2">
                  <c:v>7.5621</c:v>
                </c:pt>
                <c:pt idx="3">
                  <c:v>6.82585</c:v>
                </c:pt>
                <c:pt idx="4">
                  <c:v>6.4605499999999996</c:v>
                </c:pt>
                <c:pt idx="5">
                  <c:v>6.8927070247933884</c:v>
                </c:pt>
                <c:pt idx="6">
                  <c:v>6.6683294666666661</c:v>
                </c:pt>
                <c:pt idx="7">
                  <c:v>7.3491743822447475</c:v>
                </c:pt>
                <c:pt idx="8">
                  <c:v>8.0319500000000001</c:v>
                </c:pt>
                <c:pt idx="9">
                  <c:v>8.543099999999999</c:v>
                </c:pt>
                <c:pt idx="10">
                  <c:v>9.4789999999999992</c:v>
                </c:pt>
                <c:pt idx="11">
                  <c:v>9.7094333333333314</c:v>
                </c:pt>
                <c:pt idx="12">
                  <c:v>10.17895</c:v>
                </c:pt>
                <c:pt idx="13">
                  <c:v>11.088666666666667</c:v>
                </c:pt>
                <c:pt idx="14">
                  <c:v>11.286049999999999</c:v>
                </c:pt>
                <c:pt idx="15">
                  <c:v>11.808</c:v>
                </c:pt>
                <c:pt idx="16">
                  <c:v>11.929950000000002</c:v>
                </c:pt>
                <c:pt idx="17">
                  <c:v>11.442941876642301</c:v>
                </c:pt>
              </c:numCache>
            </c:numRef>
          </c:val>
          <c:smooth val="0"/>
          <c:extLst>
            <c:ext xmlns:c16="http://schemas.microsoft.com/office/drawing/2014/chart" uri="{C3380CC4-5D6E-409C-BE32-E72D297353CC}">
              <c16:uniqueId val="{00000002-E44D-45E7-8495-AB257D02F2A2}"/>
            </c:ext>
          </c:extLst>
        </c:ser>
        <c:ser>
          <c:idx val="2"/>
          <c:order val="2"/>
          <c:tx>
            <c:strRef>
              <c:f>Sheet1!$E$1</c:f>
              <c:strCache>
                <c:ptCount val="1"/>
                <c:pt idx="0">
                  <c:v>Երկարաժամկետ ՊՊ</c:v>
                </c:pt>
              </c:strCache>
            </c:strRef>
          </c:tx>
          <c:spPr>
            <a:ln w="28575" cap="rnd">
              <a:noFill/>
              <a:round/>
            </a:ln>
            <a:effectLst/>
          </c:spPr>
          <c:marker>
            <c:symbol val="circle"/>
            <c:size val="5"/>
            <c:spPr>
              <a:solidFill>
                <a:schemeClr val="accent3"/>
              </a:solidFill>
              <a:ln w="9525">
                <a:solidFill>
                  <a:schemeClr val="accent3"/>
                </a:solidFill>
              </a:ln>
              <a:effectLst/>
            </c:spPr>
          </c:marker>
          <c:cat>
            <c:multiLvlStrRef>
              <c:f>Sheet1!$A$14:$B$31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Sheet1!$E$2:$E$31</c:f>
              <c:numCache>
                <c:formatCode>0.0</c:formatCode>
                <c:ptCount val="18"/>
                <c:pt idx="0">
                  <c:v>9.7417999999999996</c:v>
                </c:pt>
                <c:pt idx="1">
                  <c:v>11.6442</c:v>
                </c:pt>
                <c:pt idx="2">
                  <c:v>9.6748999999999992</c:v>
                </c:pt>
                <c:pt idx="3">
                  <c:v>10.902100000000001</c:v>
                </c:pt>
                <c:pt idx="4">
                  <c:v>8.1011000000000006</c:v>
                </c:pt>
                <c:pt idx="5">
                  <c:v>9.3685051678535718</c:v>
                </c:pt>
                <c:pt idx="6">
                  <c:v>7.9247801446342399</c:v>
                </c:pt>
                <c:pt idx="7">
                  <c:v>9.0678438931297709</c:v>
                </c:pt>
                <c:pt idx="8">
                  <c:v>9.681431525610396</c:v>
                </c:pt>
                <c:pt idx="9">
                  <c:v>9.8704542865300873</c:v>
                </c:pt>
                <c:pt idx="10">
                  <c:v>9.9131</c:v>
                </c:pt>
                <c:pt idx="11">
                  <c:v>10.289874523669795</c:v>
                </c:pt>
                <c:pt idx="12">
                  <c:v>10.6031</c:v>
                </c:pt>
                <c:pt idx="13">
                  <c:v>11.6937</c:v>
                </c:pt>
                <c:pt idx="14">
                  <c:v>11.8903</c:v>
                </c:pt>
                <c:pt idx="16">
                  <c:v>11.9801</c:v>
                </c:pt>
                <c:pt idx="17">
                  <c:v>11.785450025631398</c:v>
                </c:pt>
              </c:numCache>
            </c:numRef>
          </c:val>
          <c:smooth val="0"/>
          <c:extLst>
            <c:ext xmlns:c16="http://schemas.microsoft.com/office/drawing/2014/chart" uri="{C3380CC4-5D6E-409C-BE32-E72D297353CC}">
              <c16:uniqueId val="{00000003-E44D-45E7-8495-AB257D02F2A2}"/>
            </c:ext>
          </c:extLst>
        </c:ser>
        <c:dLbls>
          <c:showLegendKey val="0"/>
          <c:showVal val="0"/>
          <c:showCatName val="0"/>
          <c:showSerName val="0"/>
          <c:showPercent val="0"/>
          <c:showBubbleSize val="0"/>
        </c:dLbls>
        <c:marker val="1"/>
        <c:smooth val="0"/>
        <c:axId val="1045019312"/>
        <c:axId val="1045012424"/>
      </c:lineChart>
      <c:catAx>
        <c:axId val="104501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2424"/>
        <c:crosses val="autoZero"/>
        <c:auto val="1"/>
        <c:lblAlgn val="ctr"/>
        <c:lblOffset val="100"/>
        <c:noMultiLvlLbl val="0"/>
      </c:catAx>
      <c:valAx>
        <c:axId val="1045012424"/>
        <c:scaling>
          <c:orientation val="minMax"/>
          <c:max val="1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9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Եկամտաբերություններ, </a:t>
            </a:r>
            <a:r>
              <a:rPr lang="en-US" sz="1100"/>
              <a:t>%</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4365442955994137"/>
          <c:y val="0.15405761779777527"/>
          <c:w val="0.78805160718546541"/>
          <c:h val="0.47725147366502008"/>
        </c:manualLayout>
      </c:layou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Sheet1!$C$16:$C$67</c:f>
            </c:numRef>
          </c:val>
          <c:smooth val="0"/>
          <c:extLst>
            <c:ext xmlns:c16="http://schemas.microsoft.com/office/drawing/2014/chart" uri="{C3380CC4-5D6E-409C-BE32-E72D297353CC}">
              <c16:uniqueId val="{00000000-F690-4261-A6AC-194429532CBA}"/>
            </c:ext>
          </c:extLst>
        </c:ser>
        <c:ser>
          <c:idx val="1"/>
          <c:order val="1"/>
          <c:tx>
            <c:strRef>
              <c:f>Sheet1!$D$1</c:f>
              <c:strCache>
                <c:ptCount val="1"/>
                <c:pt idx="0">
                  <c:v>2025թ. մարվող պարտատոմսեր</c:v>
                </c:pt>
              </c:strCache>
            </c:strRef>
          </c:tx>
          <c:spPr>
            <a:ln w="28575" cap="rnd">
              <a:solidFill>
                <a:schemeClr val="accent2"/>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Sheet1!$D$16:$D$67</c:f>
              <c:numCache>
                <c:formatCode>0.0</c:formatCode>
                <c:ptCount val="18"/>
                <c:pt idx="0">
                  <c:v>5.0404285714285715</c:v>
                </c:pt>
                <c:pt idx="1">
                  <c:v>4.3403999999999989</c:v>
                </c:pt>
                <c:pt idx="2">
                  <c:v>3.9032857142857145</c:v>
                </c:pt>
                <c:pt idx="3">
                  <c:v>3.5483500000000001</c:v>
                </c:pt>
                <c:pt idx="4">
                  <c:v>5.1645909090909088</c:v>
                </c:pt>
                <c:pt idx="5">
                  <c:v>3.9795454545454545</c:v>
                </c:pt>
                <c:pt idx="6">
                  <c:v>3.6502727272727271</c:v>
                </c:pt>
                <c:pt idx="7">
                  <c:v>3.5371818181818182</c:v>
                </c:pt>
                <c:pt idx="8">
                  <c:v>4.046347826086957</c:v>
                </c:pt>
                <c:pt idx="9">
                  <c:v>3.4342272727272727</c:v>
                </c:pt>
                <c:pt idx="10">
                  <c:v>2.6846818181818177</c:v>
                </c:pt>
                <c:pt idx="11">
                  <c:v>3.1654285714285715</c:v>
                </c:pt>
                <c:pt idx="12">
                  <c:v>7.4899130434782624</c:v>
                </c:pt>
                <c:pt idx="13">
                  <c:v>7.4219500000000007</c:v>
                </c:pt>
                <c:pt idx="14">
                  <c:v>7.4047000000000001</c:v>
                </c:pt>
                <c:pt idx="15">
                  <c:v>6.4584761904761896</c:v>
                </c:pt>
                <c:pt idx="16">
                  <c:v>6.3918695652173918</c:v>
                </c:pt>
                <c:pt idx="17">
                  <c:v>6.3964999999999996</c:v>
                </c:pt>
              </c:numCache>
            </c:numRef>
          </c:val>
          <c:smooth val="0"/>
          <c:extLst>
            <c:ext xmlns:c16="http://schemas.microsoft.com/office/drawing/2014/chart" uri="{C3380CC4-5D6E-409C-BE32-E72D297353CC}">
              <c16:uniqueId val="{00000001-F690-4261-A6AC-194429532CBA}"/>
            </c:ext>
          </c:extLst>
        </c:ser>
        <c:ser>
          <c:idx val="2"/>
          <c:order val="2"/>
          <c:tx>
            <c:strRef>
              <c:f>Sheet1!$E$1</c:f>
              <c:strCache>
                <c:ptCount val="1"/>
                <c:pt idx="0">
                  <c:v>2029թ. մարվող պարտատոմսեր</c:v>
                </c:pt>
              </c:strCache>
            </c:strRef>
          </c:tx>
          <c:spPr>
            <a:ln w="28575" cap="rnd">
              <a:solidFill>
                <a:schemeClr val="accent3"/>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Sheet1!$E$16:$E$67</c:f>
              <c:numCache>
                <c:formatCode>General</c:formatCode>
                <c:ptCount val="18"/>
                <c:pt idx="2" formatCode="0.0">
                  <c:v>4.1567999999999996</c:v>
                </c:pt>
                <c:pt idx="3" formatCode="0.0">
                  <c:v>4.0600000000000005</c:v>
                </c:pt>
                <c:pt idx="4" formatCode="0.0">
                  <c:v>4.9182272727272718</c:v>
                </c:pt>
                <c:pt idx="5" formatCode="0.0">
                  <c:v>4.1830000000000007</c:v>
                </c:pt>
                <c:pt idx="6" formatCode="0.0">
                  <c:v>3.7706363636363633</c:v>
                </c:pt>
                <c:pt idx="7" formatCode="0.0">
                  <c:v>3.9598636363636364</c:v>
                </c:pt>
                <c:pt idx="8" formatCode="0.0">
                  <c:v>4.4904782608695655</c:v>
                </c:pt>
                <c:pt idx="9" formatCode="0.0">
                  <c:v>4.2633181818181818</c:v>
                </c:pt>
                <c:pt idx="10" formatCode="0.0">
                  <c:v>4.0162272727272734</c:v>
                </c:pt>
                <c:pt idx="11" formatCode="0.0">
                  <c:v>4.3866190476190461</c:v>
                </c:pt>
                <c:pt idx="12" formatCode="0.0">
                  <c:v>6.8682173913043476</c:v>
                </c:pt>
                <c:pt idx="13" formatCode="0.0">
                  <c:v>8.2034500000000001</c:v>
                </c:pt>
                <c:pt idx="14" formatCode="0.0">
                  <c:v>8.7533500000000011</c:v>
                </c:pt>
                <c:pt idx="15" formatCode="0.0">
                  <c:v>7.0670952380952361</c:v>
                </c:pt>
                <c:pt idx="16" formatCode="0.0">
                  <c:v>7.5711739130434781</c:v>
                </c:pt>
                <c:pt idx="17" formatCode="0.0">
                  <c:v>7.398681818181819</c:v>
                </c:pt>
              </c:numCache>
            </c:numRef>
          </c:val>
          <c:smooth val="0"/>
          <c:extLst>
            <c:ext xmlns:c16="http://schemas.microsoft.com/office/drawing/2014/chart" uri="{C3380CC4-5D6E-409C-BE32-E72D297353CC}">
              <c16:uniqueId val="{00000002-F690-4261-A6AC-194429532CBA}"/>
            </c:ext>
          </c:extLst>
        </c:ser>
        <c:ser>
          <c:idx val="3"/>
          <c:order val="3"/>
          <c:tx>
            <c:strRef>
              <c:f>Sheet1!$F$1</c:f>
              <c:strCache>
                <c:ptCount val="1"/>
                <c:pt idx="0">
                  <c:v>2031թ. մարվող պարտատոմսեր</c:v>
                </c:pt>
              </c:strCache>
            </c:strRef>
          </c:tx>
          <c:spPr>
            <a:ln w="28575" cap="rnd">
              <a:solidFill>
                <a:schemeClr val="accent4"/>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Sheet1!$F$16:$F$67</c:f>
              <c:numCache>
                <c:formatCode>General</c:formatCode>
                <c:ptCount val="18"/>
                <c:pt idx="8" formatCode="0.0">
                  <c:v>4.6077826086956497</c:v>
                </c:pt>
                <c:pt idx="9" formatCode="0.0">
                  <c:v>4.4961363636363636</c:v>
                </c:pt>
                <c:pt idx="10" formatCode="0.0">
                  <c:v>4.1649090909090898</c:v>
                </c:pt>
                <c:pt idx="11" formatCode="0.0">
                  <c:v>4.5901428571428564</c:v>
                </c:pt>
                <c:pt idx="12" formatCode="0.0">
                  <c:v>7.189913043478259</c:v>
                </c:pt>
                <c:pt idx="13" formatCode="0.0">
                  <c:v>8.3145000000000007</c:v>
                </c:pt>
                <c:pt idx="14" formatCode="0.0">
                  <c:v>8.5759000000000007</c:v>
                </c:pt>
                <c:pt idx="15" formatCode="0.0">
                  <c:v>6.8412857142857133</c:v>
                </c:pt>
                <c:pt idx="16" formatCode="0.0">
                  <c:v>7.607956521739129</c:v>
                </c:pt>
                <c:pt idx="17" formatCode="0.0">
                  <c:v>7.484909090909091</c:v>
                </c:pt>
              </c:numCache>
            </c:numRef>
          </c:val>
          <c:smooth val="0"/>
          <c:extLst>
            <c:ext xmlns:c16="http://schemas.microsoft.com/office/drawing/2014/chart" uri="{C3380CC4-5D6E-409C-BE32-E72D297353CC}">
              <c16:uniqueId val="{00000003-F690-4261-A6AC-194429532CBA}"/>
            </c:ext>
          </c:extLst>
        </c:ser>
        <c:dLbls>
          <c:showLegendKey val="0"/>
          <c:showVal val="0"/>
          <c:showCatName val="0"/>
          <c:showSerName val="0"/>
          <c:showPercent val="0"/>
          <c:showBubbleSize val="0"/>
        </c:dLbls>
        <c:smooth val="0"/>
        <c:axId val="1152193232"/>
        <c:axId val="1152193560"/>
      </c:lineChart>
      <c:catAx>
        <c:axId val="115219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560"/>
        <c:crosses val="autoZero"/>
        <c:auto val="1"/>
        <c:lblAlgn val="ctr"/>
        <c:lblOffset val="100"/>
        <c:noMultiLvlLbl val="0"/>
      </c:catAx>
      <c:valAx>
        <c:axId val="1152193560"/>
        <c:scaling>
          <c:orientation val="minMax"/>
          <c:max val="1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232"/>
        <c:crosses val="autoZero"/>
        <c:crossBetween val="between"/>
      </c:valAx>
      <c:spPr>
        <a:noFill/>
        <a:ln>
          <a:noFill/>
        </a:ln>
        <a:effectLst/>
      </c:spPr>
    </c:plotArea>
    <c:legend>
      <c:legendPos val="b"/>
      <c:layout>
        <c:manualLayout>
          <c:xMode val="edge"/>
          <c:yMode val="edge"/>
          <c:x val="4.2651574803149607E-2"/>
          <c:y val="0.79901379471998191"/>
          <c:w val="0.91893766404199473"/>
          <c:h val="0.20098620528001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Ռիսկի հավելավճար, բազիսային կետ</a:t>
            </a:r>
            <a:endParaRPr lang="en-US" sz="1100"/>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363043161271508"/>
          <c:y val="0.14039812829350026"/>
          <c:w val="0.77950204141149027"/>
          <c:h val="0.49521429997656025"/>
        </c:manualLayout>
      </c:layout>
      <c:areaChart>
        <c:grouping val="standard"/>
        <c:varyColors val="0"/>
        <c:dLbls>
          <c:showLegendKey val="0"/>
          <c:showVal val="0"/>
          <c:showCatName val="0"/>
          <c:showSerName val="0"/>
          <c:showPercent val="0"/>
          <c:showBubbleSize val="0"/>
        </c:dLbls>
        <c:axId val="1152192904"/>
        <c:axId val="1152194872"/>
        <c:extLst>
          <c:ext xmlns:c15="http://schemas.microsoft.com/office/drawing/2012/chart" uri="{02D57815-91ED-43cb-92C2-25804820EDAC}">
            <c15:filteredAreaSeries>
              <c15:ser>
                <c:idx val="4"/>
                <c:order val="4"/>
                <c:tx>
                  <c:strRef>
                    <c:extLst>
                      <c:ext uri="{02D57815-91ED-43cb-92C2-25804820EDAC}">
                        <c15:formulaRef>
                          <c15:sqref>Sheet1!#REF!</c15:sqref>
                        </c15:formulaRef>
                      </c:ext>
                    </c:extLst>
                    <c:strCache>
                      <c:ptCount val="1"/>
                      <c:pt idx="0">
                        <c:v>#REF!</c:v>
                      </c:pt>
                    </c:strCache>
                  </c:strRef>
                </c:tx>
                <c:spPr>
                  <a:solidFill>
                    <a:schemeClr val="accent5"/>
                  </a:solidFill>
                  <a:ln>
                    <a:noFill/>
                  </a:ln>
                  <a:effectLst/>
                </c:spPr>
                <c:cat>
                  <c:strRef>
                    <c:extLst>
                      <c:ext uri="{02D57815-91ED-43cb-92C2-25804820EDAC}">
                        <c15:formulaRef>
                          <c15:sqref>Sheet1!$B$2:$B$68</c15:sqref>
                        </c15:formulaRef>
                      </c:ext>
                    </c:extLst>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4-CCAA-457F-8C34-FDB5BB20D3FA}"/>
                  </c:ext>
                </c:extLst>
              </c15:ser>
            </c15:filteredAreaSeries>
          </c:ext>
        </c:extLst>
      </c:areaChar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Sheet1!$C$2:$C$68</c:f>
            </c:numRef>
          </c:val>
          <c:smooth val="0"/>
          <c:extLst>
            <c:ext xmlns:c16="http://schemas.microsoft.com/office/drawing/2014/chart" uri="{C3380CC4-5D6E-409C-BE32-E72D297353CC}">
              <c16:uniqueId val="{00000000-CCAA-457F-8C34-FDB5BB20D3FA}"/>
            </c:ext>
          </c:extLst>
        </c:ser>
        <c:ser>
          <c:idx val="1"/>
          <c:order val="1"/>
          <c:tx>
            <c:strRef>
              <c:f>Sheet1!$D$1</c:f>
              <c:strCache>
                <c:ptCount val="1"/>
                <c:pt idx="0">
                  <c:v>2025թ. մարվող պարտատոմսեր</c:v>
                </c:pt>
              </c:strCache>
            </c:strRef>
          </c:tx>
          <c:spPr>
            <a:ln w="28575" cap="rnd">
              <a:solidFill>
                <a:schemeClr val="accent2"/>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Sheet1!$D$16:$D$67</c:f>
              <c:numCache>
                <c:formatCode>0.0</c:formatCode>
                <c:ptCount val="18"/>
                <c:pt idx="0">
                  <c:v>266.59276190476191</c:v>
                </c:pt>
                <c:pt idx="1">
                  <c:v>251.38109999999992</c:v>
                </c:pt>
                <c:pt idx="2">
                  <c:v>234.45471428571429</c:v>
                </c:pt>
                <c:pt idx="3">
                  <c:v>187.30005</c:v>
                </c:pt>
                <c:pt idx="4">
                  <c:v>455.08540909090902</c:v>
                </c:pt>
                <c:pt idx="5">
                  <c:v>363.78313636363634</c:v>
                </c:pt>
                <c:pt idx="6">
                  <c:v>341.7038695652173</c:v>
                </c:pt>
                <c:pt idx="7">
                  <c:v>309.91835000000003</c:v>
                </c:pt>
                <c:pt idx="8">
                  <c:v>322.77860869565217</c:v>
                </c:pt>
                <c:pt idx="9">
                  <c:v>260.00977272727283</c:v>
                </c:pt>
                <c:pt idx="10">
                  <c:v>183.10550000000001</c:v>
                </c:pt>
                <c:pt idx="11">
                  <c:v>194.42571428571429</c:v>
                </c:pt>
                <c:pt idx="12">
                  <c:v>540.08386956521736</c:v>
                </c:pt>
                <c:pt idx="13">
                  <c:v>422.71915000000001</c:v>
                </c:pt>
                <c:pt idx="14">
                  <c:v>358.6154761904761</c:v>
                </c:pt>
                <c:pt idx="15">
                  <c:v>239.95066666666671</c:v>
                </c:pt>
                <c:pt idx="16">
                  <c:v>206.25734782608694</c:v>
                </c:pt>
                <c:pt idx="17">
                  <c:v>173.3331818181818</c:v>
                </c:pt>
              </c:numCache>
            </c:numRef>
          </c:val>
          <c:smooth val="0"/>
          <c:extLst>
            <c:ext xmlns:c16="http://schemas.microsoft.com/office/drawing/2014/chart" uri="{C3380CC4-5D6E-409C-BE32-E72D297353CC}">
              <c16:uniqueId val="{00000001-CCAA-457F-8C34-FDB5BB20D3FA}"/>
            </c:ext>
          </c:extLst>
        </c:ser>
        <c:ser>
          <c:idx val="2"/>
          <c:order val="2"/>
          <c:tx>
            <c:strRef>
              <c:f>Sheet1!$E$1</c:f>
              <c:strCache>
                <c:ptCount val="1"/>
                <c:pt idx="0">
                  <c:v>2029թ. մարվող պարտատոմսեր</c:v>
                </c:pt>
              </c:strCache>
            </c:strRef>
          </c:tx>
          <c:spPr>
            <a:ln w="28575" cap="rnd">
              <a:solidFill>
                <a:schemeClr val="accent3"/>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Sheet1!$E$16:$E$67</c:f>
              <c:numCache>
                <c:formatCode>General</c:formatCode>
                <c:ptCount val="18"/>
                <c:pt idx="2" formatCode="0.0">
                  <c:v>247.18040000000002</c:v>
                </c:pt>
                <c:pt idx="3" formatCode="0.0">
                  <c:v>220.29335</c:v>
                </c:pt>
                <c:pt idx="4" formatCode="0.0">
                  <c:v>405.31604545454542</c:v>
                </c:pt>
                <c:pt idx="5" formatCode="0.0">
                  <c:v>345.75059090909087</c:v>
                </c:pt>
                <c:pt idx="6" formatCode="0.0">
                  <c:v>310.69999999999993</c:v>
                </c:pt>
                <c:pt idx="7" formatCode="0.0">
                  <c:v>298.91015000000004</c:v>
                </c:pt>
                <c:pt idx="8" formatCode="0.0">
                  <c:v>288.58165217391308</c:v>
                </c:pt>
                <c:pt idx="9" formatCode="0.0">
                  <c:v>275.1784545454546</c:v>
                </c:pt>
                <c:pt idx="10" formatCode="0.0">
                  <c:v>264.96990909090908</c:v>
                </c:pt>
                <c:pt idx="11" formatCode="0.0">
                  <c:v>292.65804761904764</c:v>
                </c:pt>
                <c:pt idx="12" formatCode="0.0">
                  <c:v>474.19495652173907</c:v>
                </c:pt>
                <c:pt idx="13" formatCode="0.0">
                  <c:v>505.30729999999994</c:v>
                </c:pt>
                <c:pt idx="14" formatCode="0.0">
                  <c:v>527.93804761904767</c:v>
                </c:pt>
                <c:pt idx="15" formatCode="0.0">
                  <c:v>346.68850000000003</c:v>
                </c:pt>
                <c:pt idx="16" formatCode="0.0">
                  <c:v>373.95347826086959</c:v>
                </c:pt>
                <c:pt idx="17" formatCode="0.0">
                  <c:v>344.89822727272718</c:v>
                </c:pt>
              </c:numCache>
            </c:numRef>
          </c:val>
          <c:smooth val="0"/>
          <c:extLst>
            <c:ext xmlns:c16="http://schemas.microsoft.com/office/drawing/2014/chart" uri="{C3380CC4-5D6E-409C-BE32-E72D297353CC}">
              <c16:uniqueId val="{00000002-CCAA-457F-8C34-FDB5BB20D3FA}"/>
            </c:ext>
          </c:extLst>
        </c:ser>
        <c:ser>
          <c:idx val="3"/>
          <c:order val="3"/>
          <c:tx>
            <c:strRef>
              <c:f>Sheet1!$F$1</c:f>
              <c:strCache>
                <c:ptCount val="1"/>
                <c:pt idx="0">
                  <c:v>2031թ. մարվող պարտատոմսեր</c:v>
                </c:pt>
              </c:strCache>
            </c:strRef>
          </c:tx>
          <c:spPr>
            <a:ln w="28575" cap="rnd">
              <a:solidFill>
                <a:schemeClr val="accent4"/>
              </a:solidFill>
              <a:round/>
            </a:ln>
            <a:effectLst/>
          </c:spPr>
          <c:marker>
            <c:symbol val="none"/>
          </c:marker>
          <c:cat>
            <c:multiLvlStrRef>
              <c:f>Sheet1!$A$16:$B$67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Sheet1!$F$16:$F$67</c:f>
              <c:numCache>
                <c:formatCode>General</c:formatCode>
                <c:ptCount val="18"/>
                <c:pt idx="8" formatCode="0.0">
                  <c:v>293.64643478260865</c:v>
                </c:pt>
                <c:pt idx="9" formatCode="0.0">
                  <c:v>292.26331818181819</c:v>
                </c:pt>
                <c:pt idx="10" formatCode="0.0">
                  <c:v>274.45186363636361</c:v>
                </c:pt>
                <c:pt idx="11" formatCode="0.0">
                  <c:v>304.84927272727271</c:v>
                </c:pt>
                <c:pt idx="12" formatCode="0.0">
                  <c:v>494.65360869565217</c:v>
                </c:pt>
                <c:pt idx="13" formatCode="0.0">
                  <c:v>505.76620000000003</c:v>
                </c:pt>
                <c:pt idx="14" formatCode="0.0">
                  <c:v>496.96447619047615</c:v>
                </c:pt>
                <c:pt idx="15" formatCode="0.0">
                  <c:v>312.66779999999994</c:v>
                </c:pt>
                <c:pt idx="16" formatCode="0.0">
                  <c:v>395.31556521739122</c:v>
                </c:pt>
                <c:pt idx="17" formatCode="0.0">
                  <c:v>360.74450000000002</c:v>
                </c:pt>
              </c:numCache>
            </c:numRef>
          </c:val>
          <c:smooth val="0"/>
          <c:extLst>
            <c:ext xmlns:c16="http://schemas.microsoft.com/office/drawing/2014/chart" uri="{C3380CC4-5D6E-409C-BE32-E72D297353CC}">
              <c16:uniqueId val="{00000003-CCAA-457F-8C34-FDB5BB20D3FA}"/>
            </c:ext>
          </c:extLst>
        </c:ser>
        <c:dLbls>
          <c:showLegendKey val="0"/>
          <c:showVal val="0"/>
          <c:showCatName val="0"/>
          <c:showSerName val="0"/>
          <c:showPercent val="0"/>
          <c:showBubbleSize val="0"/>
        </c:dLbls>
        <c:marker val="1"/>
        <c:smooth val="0"/>
        <c:axId val="1152192904"/>
        <c:axId val="1152194872"/>
      </c:lineChart>
      <c:catAx>
        <c:axId val="115219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4872"/>
        <c:crosses val="autoZero"/>
        <c:auto val="1"/>
        <c:lblAlgn val="ctr"/>
        <c:lblOffset val="100"/>
        <c:noMultiLvlLbl val="0"/>
      </c:catAx>
      <c:valAx>
        <c:axId val="1152194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2904"/>
        <c:crosses val="autoZero"/>
        <c:crossBetween val="between"/>
      </c:valAx>
      <c:spPr>
        <a:noFill/>
        <a:ln>
          <a:noFill/>
        </a:ln>
        <a:effectLst/>
      </c:spPr>
    </c:plotArea>
    <c:legend>
      <c:legendPos val="b"/>
      <c:layout>
        <c:manualLayout>
          <c:xMode val="edge"/>
          <c:yMode val="edge"/>
          <c:x val="4.2615558471857676E-2"/>
          <c:y val="0.80816501575671285"/>
          <c:w val="0.91401606425702808"/>
          <c:h val="0.191834984243287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Ծավալը, մլրդ դրամ</c:v>
                </c:pt>
              </c:strCache>
            </c:strRef>
          </c:tx>
          <c:spPr>
            <a:solidFill>
              <a:srgbClr val="1F497D">
                <a:lumMod val="60000"/>
                <a:lumOff val="40000"/>
              </a:srgbClr>
            </a:solidFill>
            <a:ln w="28575" cap="rnd">
              <a:solidFill>
                <a:srgbClr val="1F497D">
                  <a:lumMod val="60000"/>
                  <a:lumOff val="40000"/>
                </a:srgbClr>
              </a:solidFill>
              <a:round/>
            </a:ln>
            <a:effectLst/>
          </c:spPr>
          <c:invertIfNegative val="0"/>
          <c:dLbls>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5"/>
                <c:pt idx="0">
                  <c:v>2019 I կիս․</c:v>
                </c:pt>
                <c:pt idx="1">
                  <c:v>2020 I կիս․</c:v>
                </c:pt>
                <c:pt idx="2">
                  <c:v>2021 I կիս․</c:v>
                </c:pt>
                <c:pt idx="3">
                  <c:v>2022 I կիս․</c:v>
                </c:pt>
                <c:pt idx="4">
                  <c:v>2023 I կիս․</c:v>
                </c:pt>
              </c:strCache>
            </c:strRef>
          </c:cat>
          <c:val>
            <c:numRef>
              <c:f>Sheet1!$B$2:$G$2</c:f>
              <c:numCache>
                <c:formatCode>0.0</c:formatCode>
                <c:ptCount val="5"/>
                <c:pt idx="0">
                  <c:v>713.38441683999997</c:v>
                </c:pt>
                <c:pt idx="1">
                  <c:v>680.28931143000011</c:v>
                </c:pt>
                <c:pt idx="2">
                  <c:v>750.20173813919996</c:v>
                </c:pt>
                <c:pt idx="3">
                  <c:v>927.89941157999999</c:v>
                </c:pt>
                <c:pt idx="4">
                  <c:v>1103.5135429859999</c:v>
                </c:pt>
              </c:numCache>
            </c:numRef>
          </c:val>
          <c:extLst>
            <c:ext xmlns:c16="http://schemas.microsoft.com/office/drawing/2014/chart" uri="{C3380CC4-5D6E-409C-BE32-E72D297353CC}">
              <c16:uniqueId val="{00000000-0552-4E53-B2F3-F1982C190972}"/>
            </c:ext>
          </c:extLst>
        </c:ser>
        <c:dLbls>
          <c:showLegendKey val="0"/>
          <c:showVal val="0"/>
          <c:showCatName val="0"/>
          <c:showSerName val="0"/>
          <c:showPercent val="0"/>
          <c:showBubbleSize val="0"/>
        </c:dLbls>
        <c:gapWidth val="150"/>
        <c:axId val="295923712"/>
        <c:axId val="295925248"/>
      </c:barChart>
      <c:lineChart>
        <c:grouping val="standard"/>
        <c:varyColors val="0"/>
        <c:ser>
          <c:idx val="1"/>
          <c:order val="1"/>
          <c:tx>
            <c:strRef>
              <c:f>Sheet1!$A$3</c:f>
              <c:strCache>
                <c:ptCount val="1"/>
                <c:pt idx="0">
                  <c:v>աճի տեմպը, %</c:v>
                </c:pt>
              </c:strCache>
            </c:strRef>
          </c:tx>
          <c:spPr>
            <a:ln>
              <a:solidFill>
                <a:srgbClr val="9BBB59"/>
              </a:solidFill>
            </a:ln>
            <a:effectLst/>
          </c:spPr>
          <c:marker>
            <c:symbol val="none"/>
          </c:marker>
          <c:dLbls>
            <c:dLbl>
              <c:idx val="3"/>
              <c:layout>
                <c:manualLayout>
                  <c:x val="-2.8665931642778551E-2"/>
                  <c:y val="-4.41014332965821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552-4E53-B2F3-F1982C1909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5"/>
                <c:pt idx="0">
                  <c:v>2019 I կիս․</c:v>
                </c:pt>
                <c:pt idx="1">
                  <c:v>2020 I կիս․</c:v>
                </c:pt>
                <c:pt idx="2">
                  <c:v>2021 I կիս․</c:v>
                </c:pt>
                <c:pt idx="3">
                  <c:v>2022 I կիս․</c:v>
                </c:pt>
                <c:pt idx="4">
                  <c:v>2023 I կիս․</c:v>
                </c:pt>
              </c:strCache>
            </c:strRef>
          </c:cat>
          <c:val>
            <c:numRef>
              <c:f>Sheet1!$B$3:$G$3</c:f>
              <c:numCache>
                <c:formatCode>0.0</c:formatCode>
                <c:ptCount val="5"/>
                <c:pt idx="0">
                  <c:v>24.520443767608583</c:v>
                </c:pt>
                <c:pt idx="1">
                  <c:v>-4.6391685364529707</c:v>
                </c:pt>
                <c:pt idx="2">
                  <c:v>10.27686684687734</c:v>
                </c:pt>
                <c:pt idx="3">
                  <c:v>23.686651790698491</c:v>
                </c:pt>
                <c:pt idx="4">
                  <c:v>18.925988012749073</c:v>
                </c:pt>
              </c:numCache>
            </c:numRef>
          </c:val>
          <c:smooth val="0"/>
          <c:extLst>
            <c:ext xmlns:c16="http://schemas.microsoft.com/office/drawing/2014/chart" uri="{C3380CC4-5D6E-409C-BE32-E72D297353CC}">
              <c16:uniqueId val="{00000002-0552-4E53-B2F3-F1982C190972}"/>
            </c:ext>
          </c:extLst>
        </c:ser>
        <c:dLbls>
          <c:showLegendKey val="0"/>
          <c:showVal val="0"/>
          <c:showCatName val="0"/>
          <c:showSerName val="0"/>
          <c:showPercent val="0"/>
          <c:showBubbleSize val="0"/>
        </c:dLbls>
        <c:marker val="1"/>
        <c:smooth val="0"/>
        <c:axId val="295928576"/>
        <c:axId val="295926784"/>
      </c:lineChart>
      <c:catAx>
        <c:axId val="2959237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5248"/>
        <c:crosses val="autoZero"/>
        <c:auto val="1"/>
        <c:lblAlgn val="ctr"/>
        <c:lblOffset val="100"/>
        <c:noMultiLvlLbl val="0"/>
      </c:catAx>
      <c:valAx>
        <c:axId val="2959252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3712"/>
        <c:crosses val="autoZero"/>
        <c:crossBetween val="between"/>
      </c:valAx>
      <c:valAx>
        <c:axId val="295926784"/>
        <c:scaling>
          <c:orientation val="minMax"/>
        </c:scaling>
        <c:delete val="0"/>
        <c:axPos val="r"/>
        <c:numFmt formatCode="0.0" sourceLinked="1"/>
        <c:majorTickMark val="out"/>
        <c:minorTickMark val="none"/>
        <c:tickLblPos val="nextTo"/>
        <c:crossAx val="295928576"/>
        <c:crosses val="max"/>
        <c:crossBetween val="between"/>
      </c:valAx>
      <c:catAx>
        <c:axId val="295928576"/>
        <c:scaling>
          <c:orientation val="minMax"/>
        </c:scaling>
        <c:delete val="1"/>
        <c:axPos val="b"/>
        <c:numFmt formatCode="General" sourceLinked="1"/>
        <c:majorTickMark val="out"/>
        <c:minorTickMark val="none"/>
        <c:tickLblPos val="nextTo"/>
        <c:crossAx val="295926784"/>
        <c:crosses val="autoZero"/>
        <c:auto val="1"/>
        <c:lblAlgn val="ctr"/>
        <c:lblOffset val="100"/>
        <c:noMultiLvlLbl val="0"/>
      </c:catAx>
      <c:spPr>
        <a:solidFill>
          <a:schemeClr val="bg1"/>
        </a:solidFill>
        <a:ln>
          <a:solidFill>
            <a:sysClr val="window" lastClr="FFFFFF">
              <a:lumMod val="75000"/>
            </a:sysClr>
          </a:solidFill>
        </a:ln>
        <a:effectLst/>
      </c:spPr>
    </c:plotArea>
    <c:legend>
      <c:legendPos val="b"/>
      <c:layout>
        <c:manualLayout>
          <c:xMode val="edge"/>
          <c:yMode val="edge"/>
          <c:x val="6.4211686879823607E-2"/>
          <c:y val="0.88794555035637079"/>
          <c:w val="0.87598676957001098"/>
          <c:h val="8.5593589665679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cap="flat" cmpd="sng" algn="ctr">
      <a:solidFill>
        <a:sysClr val="window" lastClr="FFFFFF">
          <a:lumMod val="75000"/>
        </a:sysClr>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4.2318276918803015E-2"/>
          <c:w val="0.89217968048592944"/>
          <c:h val="0.67820434242853045"/>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5"/>
                <c:pt idx="0">
                  <c:v>2019 I կիս․</c:v>
                </c:pt>
                <c:pt idx="1">
                  <c:v>2020 I կիս․</c:v>
                </c:pt>
                <c:pt idx="2">
                  <c:v>2021 I կիս․</c:v>
                </c:pt>
                <c:pt idx="3">
                  <c:v>2022 I կիս․</c:v>
                </c:pt>
                <c:pt idx="4">
                  <c:v>2023 I կիս․</c:v>
                </c:pt>
              </c:strCache>
            </c:strRef>
          </c:cat>
          <c:val>
            <c:numRef>
              <c:f>Sheet1!$B$2:$B$7</c:f>
              <c:numCache>
                <c:formatCode>0</c:formatCode>
                <c:ptCount val="5"/>
                <c:pt idx="0">
                  <c:v>613.09814510000001</c:v>
                </c:pt>
                <c:pt idx="1">
                  <c:v>719.83163120000006</c:v>
                </c:pt>
                <c:pt idx="2">
                  <c:v>789.27060415999983</c:v>
                </c:pt>
                <c:pt idx="3">
                  <c:v>813.29383471000006</c:v>
                </c:pt>
                <c:pt idx="4">
                  <c:v>911.89989819000004</c:v>
                </c:pt>
              </c:numCache>
            </c:numRef>
          </c:val>
          <c:extLst>
            <c:ext xmlns:c16="http://schemas.microsoft.com/office/drawing/2014/chart" uri="{C3380CC4-5D6E-409C-BE32-E72D297353CC}">
              <c16:uniqueId val="{00000000-4DD1-4BC4-A5DB-EBA99D80C665}"/>
            </c:ext>
          </c:extLst>
        </c:ser>
        <c:dLbls>
          <c:showLegendKey val="0"/>
          <c:showVal val="0"/>
          <c:showCatName val="0"/>
          <c:showSerName val="0"/>
          <c:showPercent val="0"/>
          <c:showBubbleSize val="0"/>
        </c:dLbls>
        <c:gapWidth val="150"/>
        <c:axId val="296445440"/>
        <c:axId val="296446976"/>
      </c:barChart>
      <c:lineChart>
        <c:grouping val="standard"/>
        <c:varyColors val="0"/>
        <c:ser>
          <c:idx val="2"/>
          <c:order val="1"/>
          <c:tx>
            <c:strRef>
              <c:f>Sheet1!$C$1</c:f>
              <c:strCache>
                <c:ptCount val="1"/>
                <c:pt idx="0">
                  <c:v>Աճը, %</c:v>
                </c:pt>
              </c:strCache>
            </c:strRef>
          </c:tx>
          <c:spPr>
            <a:ln>
              <a:solidFill>
                <a:srgbClr val="9BBB59"/>
              </a:solidFill>
            </a:ln>
          </c:spPr>
          <c:marker>
            <c:symbol val="none"/>
          </c:marker>
          <c:dLbls>
            <c:dLbl>
              <c:idx val="4"/>
              <c:layout>
                <c:manualLayout>
                  <c:x val="-7.8870900788709078E-2"/>
                  <c:y val="-0.1058434399117971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DD1-4BC4-A5DB-EBA99D80C665}"/>
                </c:ext>
              </c:extLst>
            </c:dLbl>
            <c:dLbl>
              <c:idx val="6"/>
              <c:layout>
                <c:manualLayout>
                  <c:x val="-9.9626400996264006E-2"/>
                  <c:y val="-3.52811466372657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D1-4BC4-A5DB-EBA99D80C665}"/>
                </c:ext>
              </c:extLst>
            </c:dLbl>
            <c:spPr>
              <a:noFill/>
              <a:ln>
                <a:noFill/>
              </a:ln>
              <a:effectLst/>
            </c:spPr>
            <c:txPr>
              <a:bodyPr rot="0" vert="horz" wrap="square" lIns="38100" tIns="19050" rIns="38100" bIns="19050" anchor="ctr">
                <a:spAutoFit/>
              </a:bodyPr>
              <a:lstStyle/>
              <a:p>
                <a:pPr>
                  <a:defRPr sz="1000">
                    <a:solidFill>
                      <a:sysClr val="windowText" lastClr="00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5"/>
                <c:pt idx="0">
                  <c:v>2019 I կիս․</c:v>
                </c:pt>
                <c:pt idx="1">
                  <c:v>2020 I կիս․</c:v>
                </c:pt>
                <c:pt idx="2">
                  <c:v>2021 I կիս․</c:v>
                </c:pt>
                <c:pt idx="3">
                  <c:v>2022 I կիս․</c:v>
                </c:pt>
                <c:pt idx="4">
                  <c:v>2023 I կիս․</c:v>
                </c:pt>
              </c:strCache>
            </c:strRef>
          </c:cat>
          <c:val>
            <c:numRef>
              <c:f>Sheet1!$C$2:$C$7</c:f>
              <c:numCache>
                <c:formatCode>0.0</c:formatCode>
                <c:ptCount val="5"/>
                <c:pt idx="0">
                  <c:v>5.9341726877196095</c:v>
                </c:pt>
                <c:pt idx="1">
                  <c:v>17.408874411549746</c:v>
                </c:pt>
                <c:pt idx="2">
                  <c:v>9.646557604622231</c:v>
                </c:pt>
                <c:pt idx="3">
                  <c:v>3.043725488239545</c:v>
                </c:pt>
                <c:pt idx="4">
                  <c:v>12.124285131850328</c:v>
                </c:pt>
              </c:numCache>
            </c:numRef>
          </c:val>
          <c:smooth val="0"/>
          <c:extLst>
            <c:ext xmlns:c16="http://schemas.microsoft.com/office/drawing/2014/chart" uri="{C3380CC4-5D6E-409C-BE32-E72D297353CC}">
              <c16:uniqueId val="{00000003-4DD1-4BC4-A5DB-EBA99D80C665}"/>
            </c:ext>
          </c:extLst>
        </c:ser>
        <c:dLbls>
          <c:showLegendKey val="0"/>
          <c:showVal val="0"/>
          <c:showCatName val="0"/>
          <c:showSerName val="0"/>
          <c:showPercent val="0"/>
          <c:showBubbleSize val="0"/>
        </c:dLbls>
        <c:marker val="1"/>
        <c:smooth val="0"/>
        <c:axId val="296462592"/>
        <c:axId val="296461056"/>
      </c:lineChart>
      <c:catAx>
        <c:axId val="296445440"/>
        <c:scaling>
          <c:orientation val="minMax"/>
        </c:scaling>
        <c:delete val="0"/>
        <c:axPos val="b"/>
        <c:numFmt formatCode="General" sourceLinked="0"/>
        <c:majorTickMark val="in"/>
        <c:minorTickMark val="in"/>
        <c:tickLblPos val="nextTo"/>
        <c:spPr>
          <a:ln/>
        </c:spPr>
        <c:txPr>
          <a:bodyPr rot="-5400000" vert="horz" anchor="t" anchorCtr="1"/>
          <a:lstStyle/>
          <a:p>
            <a:pPr>
              <a:defRPr sz="800" b="0" i="0" u="none" strike="noStrike" baseline="0">
                <a:solidFill>
                  <a:srgbClr val="000000"/>
                </a:solidFill>
                <a:latin typeface="GHEA Grapalat"/>
                <a:ea typeface="GHEA Grapalat"/>
                <a:cs typeface="GHEA Grapalat"/>
              </a:defRPr>
            </a:pPr>
            <a:endParaRPr lang="en-US"/>
          </a:p>
        </c:txPr>
        <c:crossAx val="296446976"/>
        <c:crosses val="autoZero"/>
        <c:auto val="1"/>
        <c:lblAlgn val="ctr"/>
        <c:lblOffset val="100"/>
        <c:tickLblSkip val="1"/>
        <c:noMultiLvlLbl val="0"/>
      </c:catAx>
      <c:valAx>
        <c:axId val="296446976"/>
        <c:scaling>
          <c:orientation val="minMax"/>
        </c:scaling>
        <c:delete val="0"/>
        <c:axPos val="l"/>
        <c:numFmt formatCode="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445440"/>
        <c:crossesAt val="1"/>
        <c:crossBetween val="between"/>
      </c:valAx>
      <c:valAx>
        <c:axId val="296461056"/>
        <c:scaling>
          <c:orientation val="minMax"/>
        </c:scaling>
        <c:delete val="0"/>
        <c:axPos val="r"/>
        <c:numFmt formatCode="0.0" sourceLinked="1"/>
        <c:majorTickMark val="out"/>
        <c:minorTickMark val="none"/>
        <c:tickLblPos val="nextTo"/>
        <c:crossAx val="296462592"/>
        <c:crosses val="max"/>
        <c:crossBetween val="between"/>
      </c:valAx>
      <c:catAx>
        <c:axId val="296462592"/>
        <c:scaling>
          <c:orientation val="minMax"/>
        </c:scaling>
        <c:delete val="1"/>
        <c:axPos val="b"/>
        <c:numFmt formatCode="General" sourceLinked="1"/>
        <c:majorTickMark val="out"/>
        <c:minorTickMark val="none"/>
        <c:tickLblPos val="nextTo"/>
        <c:crossAx val="29646105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5.1009457478459344E-3"/>
          <c:y val="0.89607294663388315"/>
          <c:w val="0.95037756202804746"/>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6.8779136896752302E-2"/>
          <c:w val="0.89217968048592944"/>
          <c:h val="0.65174348245058111"/>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5"/>
                <c:pt idx="0">
                  <c:v>2019 I կիս․</c:v>
                </c:pt>
                <c:pt idx="1">
                  <c:v>2020 I կիս․</c:v>
                </c:pt>
                <c:pt idx="2">
                  <c:v>2021 I կիս․</c:v>
                </c:pt>
                <c:pt idx="3">
                  <c:v>2022 I կիս․</c:v>
                </c:pt>
                <c:pt idx="4">
                  <c:v>2023 I կիս․</c:v>
                </c:pt>
              </c:strCache>
            </c:strRef>
          </c:cat>
          <c:val>
            <c:numRef>
              <c:f>Sheet1!$B$2:$B$7</c:f>
              <c:numCache>
                <c:formatCode>0.0</c:formatCode>
                <c:ptCount val="5"/>
                <c:pt idx="0">
                  <c:v>23.783200000000001</c:v>
                </c:pt>
                <c:pt idx="1">
                  <c:v>46.614117459999996</c:v>
                </c:pt>
                <c:pt idx="2">
                  <c:v>77.73566769</c:v>
                </c:pt>
                <c:pt idx="3">
                  <c:v>100.60722398000003</c:v>
                </c:pt>
                <c:pt idx="4">
                  <c:v>116.93243115999999</c:v>
                </c:pt>
              </c:numCache>
            </c:numRef>
          </c:val>
          <c:extLst>
            <c:ext xmlns:c16="http://schemas.microsoft.com/office/drawing/2014/chart" uri="{C3380CC4-5D6E-409C-BE32-E72D297353CC}">
              <c16:uniqueId val="{00000000-CCDE-456B-A8E3-8164043B7C33}"/>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none"/>
          </c:marker>
          <c:dLbls>
            <c:dLbl>
              <c:idx val="0"/>
              <c:layout>
                <c:manualLayout>
                  <c:x val="-0.10277110442141184"/>
                  <c:y val="-0.1412898801100800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CDE-456B-A8E3-8164043B7C33}"/>
                </c:ext>
              </c:extLst>
            </c:dLbl>
            <c:dLbl>
              <c:idx val="6"/>
              <c:layout>
                <c:manualLayout>
                  <c:x val="-0.12930676629306781"/>
                  <c:y val="-0.114829020132130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DE-456B-A8E3-8164043B7C33}"/>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DE-456B-A8E3-8164043B7C33}"/>
                </c:ext>
              </c:extLst>
            </c:dLbl>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5"/>
                <c:pt idx="0">
                  <c:v>2019 I կիս․</c:v>
                </c:pt>
                <c:pt idx="1">
                  <c:v>2020 I կիս․</c:v>
                </c:pt>
                <c:pt idx="2">
                  <c:v>2021 I կիս․</c:v>
                </c:pt>
                <c:pt idx="3">
                  <c:v>2022 I կիս․</c:v>
                </c:pt>
                <c:pt idx="4">
                  <c:v>2023 I կիս․</c:v>
                </c:pt>
              </c:strCache>
            </c:strRef>
          </c:cat>
          <c:val>
            <c:numRef>
              <c:f>Sheet1!$C$2:$C$7</c:f>
              <c:numCache>
                <c:formatCode>0.0</c:formatCode>
                <c:ptCount val="5"/>
                <c:pt idx="0">
                  <c:v>-32.20469822524511</c:v>
                </c:pt>
                <c:pt idx="1">
                  <c:v>95.995986494668472</c:v>
                </c:pt>
                <c:pt idx="2">
                  <c:v>66.764216348632345</c:v>
                </c:pt>
                <c:pt idx="3">
                  <c:v>29.422216299998723</c:v>
                </c:pt>
                <c:pt idx="4">
                  <c:v>16.226674918736748</c:v>
                </c:pt>
              </c:numCache>
            </c:numRef>
          </c:val>
          <c:smooth val="0"/>
          <c:extLst>
            <c:ext xmlns:c16="http://schemas.microsoft.com/office/drawing/2014/chart" uri="{C3380CC4-5D6E-409C-BE32-E72D297353CC}">
              <c16:uniqueId val="{00000004-CCDE-456B-A8E3-8164043B7C33}"/>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in"/>
        <c:minorTickMark val="in"/>
        <c:tickLblPos val="nextTo"/>
        <c:spPr>
          <a:ln/>
        </c:spPr>
        <c:txPr>
          <a:bodyPr rot="-5400000" vert="horz" anchor="t" anchorCtr="1"/>
          <a:lstStyle/>
          <a:p>
            <a:pPr>
              <a:defRPr sz="800" b="0" i="0" u="none" strike="noStrike" baseline="0">
                <a:solidFill>
                  <a:srgbClr val="000000"/>
                </a:solidFill>
                <a:latin typeface="GHEA Grapalat"/>
                <a:ea typeface="GHEA Grapalat"/>
                <a:cs typeface="GHEA Grapalat"/>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659968"/>
        <c:crossesAt val="1"/>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General"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2365704286964125"/>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val>
            <c:numRef>
              <c:f>Sheet1!$C$2:$C$67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0-B583-46CB-81E6-77E03AB21357}"/>
            </c:ext>
          </c:extLst>
        </c:ser>
        <c:ser>
          <c:idx val="1"/>
          <c:order val="1"/>
          <c:tx>
            <c:strRef>
              <c:f>Sheet1!$D$1</c:f>
              <c:strCache>
                <c:ptCount val="1"/>
                <c:pt idx="0">
                  <c:v>ԵԳ</c:v>
                </c:pt>
              </c:strCache>
            </c:strRef>
          </c:tx>
          <c:spPr>
            <a:ln w="28575" cap="rnd">
              <a:solidFill>
                <a:schemeClr val="accent1"/>
              </a:solidFill>
              <a:round/>
            </a:ln>
            <a:effectLst/>
          </c:spPr>
          <c:marker>
            <c:symbol val="none"/>
          </c:marker>
          <c:val>
            <c:numRef>
              <c:f>Sheet1!$D$2:$D$67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1-B583-46CB-81E6-77E03AB21357}"/>
            </c:ext>
          </c:extLst>
        </c:ser>
        <c:ser>
          <c:idx val="2"/>
          <c:order val="2"/>
          <c:tx>
            <c:strRef>
              <c:f>Sheet1!$E$1</c:f>
              <c:strCache>
                <c:ptCount val="1"/>
                <c:pt idx="0">
                  <c:v>Չինաստան</c:v>
                </c:pt>
              </c:strCache>
            </c:strRef>
          </c:tx>
          <c:spPr>
            <a:ln w="28575" cap="rnd">
              <a:solidFill>
                <a:schemeClr val="bg1">
                  <a:lumMod val="65000"/>
                </a:schemeClr>
              </a:solidFill>
              <a:round/>
            </a:ln>
            <a:effectLst/>
          </c:spPr>
          <c:marker>
            <c:symbol val="none"/>
          </c:marker>
          <c:val>
            <c:numRef>
              <c:f>Sheet1!$E$2:$E$67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2-B583-46CB-81E6-77E03AB21357}"/>
            </c:ext>
          </c:extLst>
        </c:ser>
        <c:ser>
          <c:idx val="3"/>
          <c:order val="3"/>
          <c:tx>
            <c:strRef>
              <c:f>Sheet1!$F$1</c:f>
              <c:strCache>
                <c:ptCount val="1"/>
                <c:pt idx="0">
                  <c:v>ՌԴ</c:v>
                </c:pt>
              </c:strCache>
            </c:strRef>
          </c:tx>
          <c:spPr>
            <a:ln w="28575" cap="rnd">
              <a:solidFill>
                <a:schemeClr val="accent6">
                  <a:lumMod val="60000"/>
                  <a:lumOff val="40000"/>
                </a:schemeClr>
              </a:solidFill>
              <a:round/>
            </a:ln>
            <a:effectLst/>
          </c:spPr>
          <c:marker>
            <c:symbol val="none"/>
          </c:marker>
          <c:val>
            <c:numRef>
              <c:f>Sheet1!$F$2:$F$67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3-B583-46CB-81E6-77E03AB21357}"/>
            </c:ext>
          </c:extLst>
        </c:ser>
        <c:dLbls>
          <c:showLegendKey val="0"/>
          <c:showVal val="0"/>
          <c:showCatName val="0"/>
          <c:showSerName val="0"/>
          <c:showPercent val="0"/>
          <c:showBubbleSize val="0"/>
        </c:dLbls>
        <c:smooth val="0"/>
        <c:axId val="-1138602080"/>
        <c:axId val="-1138601536"/>
      </c:lineChart>
      <c:catAx>
        <c:axId val="-1138602080"/>
        <c:scaling>
          <c:orientation val="minMax"/>
        </c:scaling>
        <c:delete val="1"/>
        <c:axPos val="b"/>
        <c:numFmt formatCode="General" sourceLinked="1"/>
        <c:majorTickMark val="none"/>
        <c:minorTickMark val="none"/>
        <c:tickLblPos val="low"/>
        <c:crossAx val="-1138601536"/>
        <c:crosses val="autoZero"/>
        <c:auto val="1"/>
        <c:lblAlgn val="ctr"/>
        <c:lblOffset val="100"/>
        <c:noMultiLvlLbl val="0"/>
      </c:catAx>
      <c:valAx>
        <c:axId val="-1138601536"/>
        <c:scaling>
          <c:orientation val="minMax"/>
          <c:max val="21"/>
        </c:scaling>
        <c:delete val="1"/>
        <c:axPos val="l"/>
        <c:numFmt formatCode="General" sourceLinked="1"/>
        <c:majorTickMark val="none"/>
        <c:minorTickMark val="none"/>
        <c:tickLblPos val="nextTo"/>
        <c:crossAx val="-1138602080"/>
        <c:crosses val="autoZero"/>
        <c:crossBetween val="between"/>
      </c:valAx>
      <c:spPr>
        <a:noFill/>
        <a:ln w="25400">
          <a:noFill/>
        </a:ln>
      </c:spPr>
    </c:plotArea>
    <c:legend>
      <c:legendPos val="b"/>
      <c:layout>
        <c:manualLayout>
          <c:xMode val="edge"/>
          <c:yMode val="edge"/>
          <c:x val="5.2930199264204017E-2"/>
          <c:y val="0.20734332189667515"/>
          <c:w val="0.9237377436699904"/>
          <c:h val="0.6045689038086540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Sheet1!$C$1</c:f>
              <c:strCache>
                <c:ptCount val="1"/>
                <c:pt idx="0">
                  <c:v>եկամուտների ազդակ</c:v>
                </c:pt>
              </c:strCache>
            </c:strRef>
          </c:tx>
          <c:spPr>
            <a:solidFill>
              <a:srgbClr val="5B9BD5">
                <a:lumMod val="75000"/>
              </a:srgbClr>
            </a:solidFill>
          </c:spPr>
          <c:invertIfNegative val="0"/>
          <c:cat>
            <c:multiLvlStrRef>
              <c:f>Sheet1!$A$22:$B$39</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Sheet1!$C$2:$C$39</c:f>
              <c:numCache>
                <c:formatCode>0.0</c:formatCode>
                <c:ptCount val="18"/>
                <c:pt idx="0">
                  <c:v>-0.29605774007373481</c:v>
                </c:pt>
                <c:pt idx="1">
                  <c:v>-1.4946169339765136</c:v>
                </c:pt>
                <c:pt idx="2">
                  <c:v>-1.5711012122805816</c:v>
                </c:pt>
                <c:pt idx="3">
                  <c:v>-1.1516344514139831</c:v>
                </c:pt>
                <c:pt idx="4">
                  <c:v>-1.1385808713108454</c:v>
                </c:pt>
                <c:pt idx="5">
                  <c:v>-0.40457736245829973</c:v>
                </c:pt>
                <c:pt idx="6">
                  <c:v>0.34461098379375399</c:v>
                </c:pt>
                <c:pt idx="7">
                  <c:v>0.59026098941645833</c:v>
                </c:pt>
                <c:pt idx="8">
                  <c:v>0.92220339210940028</c:v>
                </c:pt>
                <c:pt idx="9">
                  <c:v>0.57100279077189198</c:v>
                </c:pt>
                <c:pt idx="10">
                  <c:v>-0.2118798057696962</c:v>
                </c:pt>
                <c:pt idx="11">
                  <c:v>-0.42252341091084006</c:v>
                </c:pt>
                <c:pt idx="12">
                  <c:v>-2.8642843304627683</c:v>
                </c:pt>
                <c:pt idx="13">
                  <c:v>-2.1982807046452733</c:v>
                </c:pt>
                <c:pt idx="14">
                  <c:v>-1.1015651988449022</c:v>
                </c:pt>
                <c:pt idx="15">
                  <c:v>-0.19659054856717645</c:v>
                </c:pt>
                <c:pt idx="16">
                  <c:v>1.983212338212047</c:v>
                </c:pt>
                <c:pt idx="17">
                  <c:v>-0.37944262823179237</c:v>
                </c:pt>
              </c:numCache>
            </c:numRef>
          </c:val>
          <c:extLst>
            <c:ext xmlns:c16="http://schemas.microsoft.com/office/drawing/2014/chart" uri="{C3380CC4-5D6E-409C-BE32-E72D297353CC}">
              <c16:uniqueId val="{00000000-6EBC-4BE3-9A15-F0D2F9B88C99}"/>
            </c:ext>
          </c:extLst>
        </c:ser>
        <c:ser>
          <c:idx val="2"/>
          <c:order val="1"/>
          <c:tx>
            <c:strRef>
              <c:f>Sheet1!$D$1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multiLvlStrRef>
              <c:f>Sheet1!$A$22:$B$39</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2019</c:v>
                  </c:pt>
                  <c:pt idx="4">
                    <c:v>2020</c:v>
                  </c:pt>
                  <c:pt idx="8">
                    <c:v>2021</c:v>
                  </c:pt>
                  <c:pt idx="12">
                    <c:v>2022</c:v>
                  </c:pt>
                  <c:pt idx="16">
                    <c:v>2023</c:v>
                  </c:pt>
                </c:lvl>
              </c:multiLvlStrCache>
            </c:multiLvlStrRef>
          </c:cat>
          <c:val>
            <c:numRef>
              <c:f>Sheet1!$D$2:$D$39</c:f>
              <c:numCache>
                <c:formatCode>0.0</c:formatCode>
                <c:ptCount val="18"/>
                <c:pt idx="0">
                  <c:v>-1.5359557730919884</c:v>
                </c:pt>
                <c:pt idx="1">
                  <c:v>-0.9820469054239569</c:v>
                </c:pt>
                <c:pt idx="2">
                  <c:v>0.42722729293169104</c:v>
                </c:pt>
                <c:pt idx="3">
                  <c:v>0.30863659587470532</c:v>
                </c:pt>
                <c:pt idx="4">
                  <c:v>1.9882484317087521</c:v>
                </c:pt>
                <c:pt idx="5">
                  <c:v>3.7183627499969356</c:v>
                </c:pt>
                <c:pt idx="6">
                  <c:v>2.803311877197094</c:v>
                </c:pt>
                <c:pt idx="7">
                  <c:v>3.2369617476986612</c:v>
                </c:pt>
                <c:pt idx="8">
                  <c:v>1.2333518944010271</c:v>
                </c:pt>
                <c:pt idx="9">
                  <c:v>-0.72921803529476659</c:v>
                </c:pt>
                <c:pt idx="10">
                  <c:v>-0.74916953269317743</c:v>
                </c:pt>
                <c:pt idx="11">
                  <c:v>-0.87854066795066688</c:v>
                </c:pt>
                <c:pt idx="12">
                  <c:v>-1.8579878678309636</c:v>
                </c:pt>
                <c:pt idx="13">
                  <c:v>-2.0750859354628317</c:v>
                </c:pt>
                <c:pt idx="14">
                  <c:v>-1.6540679553137185</c:v>
                </c:pt>
                <c:pt idx="15">
                  <c:v>-1.9036386268650149</c:v>
                </c:pt>
                <c:pt idx="16">
                  <c:v>-1.8341954869786687</c:v>
                </c:pt>
                <c:pt idx="17">
                  <c:v>-0.18654246328112525</c:v>
                </c:pt>
              </c:numCache>
            </c:numRef>
          </c:val>
          <c:extLst>
            <c:ext xmlns:c16="http://schemas.microsoft.com/office/drawing/2014/chart" uri="{C3380CC4-5D6E-409C-BE32-E72D297353CC}">
              <c16:uniqueId val="{00000001-6EBC-4BE3-9A15-F0D2F9B88C99}"/>
            </c:ext>
          </c:extLst>
        </c:ser>
        <c:dLbls>
          <c:showLegendKey val="0"/>
          <c:showVal val="0"/>
          <c:showCatName val="0"/>
          <c:showSerName val="0"/>
          <c:showPercent val="0"/>
          <c:showBubbleSize val="0"/>
        </c:dLbls>
        <c:gapWidth val="150"/>
        <c:axId val="296855424"/>
        <c:axId val="296856960"/>
      </c:barChart>
      <c:lineChart>
        <c:grouping val="standard"/>
        <c:varyColors val="0"/>
        <c:ser>
          <c:idx val="1"/>
          <c:order val="2"/>
          <c:tx>
            <c:strRef>
              <c:f>Sheet1!$E$1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1"/>
              <c:layout>
                <c:manualLayout>
                  <c:x val="-3.7986237297261E-2"/>
                  <c:y val="-4.2696629213483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EBC-4BE3-9A15-F0D2F9B88C99}"/>
                </c:ext>
              </c:extLst>
            </c:dLbl>
            <c:dLbl>
              <c:idx val="2"/>
              <c:layout>
                <c:manualLayout>
                  <c:x val="-3.3418803418803419E-2"/>
                  <c:y val="-4.2696629213483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BC-4BE3-9A15-F0D2F9B88C99}"/>
                </c:ext>
              </c:extLst>
            </c:dLbl>
            <c:dLbl>
              <c:idx val="3"/>
              <c:layout>
                <c:manualLayout>
                  <c:x val="-2.7773682687085882E-2"/>
                  <c:y val="-4.9575925992433295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8640668813862422E-2"/>
                      <c:h val="7.9706569203656583E-2"/>
                    </c:manualLayout>
                  </c15:layout>
                </c:ext>
                <c:ext xmlns:c16="http://schemas.microsoft.com/office/drawing/2014/chart" uri="{C3380CC4-5D6E-409C-BE32-E72D297353CC}">
                  <c16:uniqueId val="{00000004-6EBC-4BE3-9A15-F0D2F9B88C99}"/>
                </c:ext>
              </c:extLst>
            </c:dLbl>
            <c:dLbl>
              <c:idx val="4"/>
              <c:layout>
                <c:manualLayout>
                  <c:x val="-3.1842990779998651E-2"/>
                  <c:y val="-4.2696629213483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EBC-4BE3-9A15-F0D2F9B88C99}"/>
                </c:ext>
              </c:extLst>
            </c:dLbl>
            <c:dLbl>
              <c:idx val="8"/>
              <c:layout>
                <c:manualLayout>
                  <c:x val="-3.7047298634474569E-2"/>
                  <c:y val="4.89021043000914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EBC-4BE3-9A15-F0D2F9B88C99}"/>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Sheet1!$B$2:$B$39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Sheet1!$E$2:$E$39</c:f>
              <c:numCache>
                <c:formatCode>0.0</c:formatCode>
                <c:ptCount val="18"/>
                <c:pt idx="0">
                  <c:v>-1.8320135131657231</c:v>
                </c:pt>
                <c:pt idx="1">
                  <c:v>-2.4766638394004703</c:v>
                </c:pt>
                <c:pt idx="2">
                  <c:v>-1.1438739193488905</c:v>
                </c:pt>
                <c:pt idx="3">
                  <c:v>-0.84299785553927786</c:v>
                </c:pt>
                <c:pt idx="4">
                  <c:v>0.8496675603979067</c:v>
                </c:pt>
                <c:pt idx="5">
                  <c:v>3.3137853875386361</c:v>
                </c:pt>
                <c:pt idx="6">
                  <c:v>3.1479228609908478</c:v>
                </c:pt>
                <c:pt idx="7">
                  <c:v>3.8272227371151195</c:v>
                </c:pt>
                <c:pt idx="8">
                  <c:v>2.1555552865104275</c:v>
                </c:pt>
                <c:pt idx="9">
                  <c:v>-0.15821524452287461</c:v>
                </c:pt>
                <c:pt idx="10">
                  <c:v>-0.96104933846287366</c:v>
                </c:pt>
                <c:pt idx="11">
                  <c:v>-1.3010640788615069</c:v>
                </c:pt>
                <c:pt idx="12">
                  <c:v>-4.7222721982937319</c:v>
                </c:pt>
                <c:pt idx="13">
                  <c:v>-4.2733666401081045</c:v>
                </c:pt>
                <c:pt idx="14">
                  <c:v>-2.7556331541586205</c:v>
                </c:pt>
                <c:pt idx="15">
                  <c:v>-2.1002291754321916</c:v>
                </c:pt>
                <c:pt idx="16">
                  <c:v>0.14901685123337827</c:v>
                </c:pt>
                <c:pt idx="17">
                  <c:v>-0.56598509151291765</c:v>
                </c:pt>
              </c:numCache>
            </c:numRef>
          </c:val>
          <c:smooth val="0"/>
          <c:extLst>
            <c:ext xmlns:c16="http://schemas.microsoft.com/office/drawing/2014/chart" uri="{C3380CC4-5D6E-409C-BE32-E72D297353CC}">
              <c16:uniqueId val="{00000007-6EBC-4BE3-9A15-F0D2F9B88C99}"/>
            </c:ext>
          </c:extLst>
        </c:ser>
        <c:dLbls>
          <c:showLegendKey val="0"/>
          <c:showVal val="0"/>
          <c:showCatName val="0"/>
          <c:showSerName val="0"/>
          <c:showPercent val="0"/>
          <c:showBubbleSize val="0"/>
        </c:dLbls>
        <c:marker val="1"/>
        <c:smooth val="0"/>
        <c:axId val="296855424"/>
        <c:axId val="296856960"/>
      </c:lineChart>
      <c:catAx>
        <c:axId val="296855424"/>
        <c:scaling>
          <c:orientation val="minMax"/>
        </c:scaling>
        <c:delete val="0"/>
        <c:axPos val="b"/>
        <c:numFmt formatCode="General" sourceLinked="0"/>
        <c:majorTickMark val="none"/>
        <c:minorTickMark val="none"/>
        <c:tickLblPos val="low"/>
        <c:txPr>
          <a:bodyPr rot="0" vert="horz"/>
          <a:lstStyle/>
          <a:p>
            <a:pPr>
              <a:defRPr sz="900" b="0" i="0" u="none" strike="noStrike" baseline="0">
                <a:solidFill>
                  <a:srgbClr val="000000"/>
                </a:solidFill>
                <a:latin typeface="GHEA Grapalat"/>
                <a:ea typeface="GHEA Grapalat"/>
                <a:cs typeface="GHEA Grapalat"/>
              </a:defRPr>
            </a:pPr>
            <a:endParaRPr lang="en-US"/>
          </a:p>
        </c:txPr>
        <c:crossAx val="296856960"/>
        <c:crosses val="autoZero"/>
        <c:auto val="1"/>
        <c:lblAlgn val="ctr"/>
        <c:lblOffset val="100"/>
        <c:tickLblSkip val="1"/>
        <c:noMultiLvlLbl val="0"/>
      </c:catAx>
      <c:valAx>
        <c:axId val="2968569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855424"/>
        <c:crosses val="autoZero"/>
        <c:crossBetween val="between"/>
      </c:valAx>
      <c:spPr>
        <a:ln w="9525">
          <a:solidFill>
            <a:sysClr val="window" lastClr="FFFFFF">
              <a:lumMod val="75000"/>
            </a:sysClr>
          </a:solid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52775672915362"/>
          <c:y val="3.7193608995596865E-2"/>
          <c:w val="0.72310348235759236"/>
          <c:h val="0.62669707270197783"/>
        </c:manualLayout>
      </c:layout>
      <c:lineChart>
        <c:grouping val="standard"/>
        <c:varyColors val="0"/>
        <c:ser>
          <c:idx val="1"/>
          <c:order val="1"/>
          <c:tx>
            <c:strRef>
              <c:f>Sheet1!$D$1</c:f>
              <c:strCache>
                <c:ptCount val="1"/>
                <c:pt idx="0">
                  <c:v>Պղինձ, դոլար/տոննա</c:v>
                </c:pt>
              </c:strCache>
            </c:strRef>
          </c:tx>
          <c:spPr>
            <a:ln w="28560" cap="rnd">
              <a:solidFill>
                <a:schemeClr val="accent1"/>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Sheet1!$D$2:$D$67</c:f>
              <c:numCache>
                <c:formatCode>0</c:formatCode>
                <c:ptCount val="54"/>
                <c:pt idx="0">
                  <c:v>5939.1</c:v>
                </c:pt>
                <c:pt idx="1">
                  <c:v>6300.49</c:v>
                </c:pt>
                <c:pt idx="2">
                  <c:v>6439.46</c:v>
                </c:pt>
                <c:pt idx="3">
                  <c:v>6438.36</c:v>
                </c:pt>
                <c:pt idx="4">
                  <c:v>6017.9</c:v>
                </c:pt>
                <c:pt idx="5">
                  <c:v>5882.23</c:v>
                </c:pt>
                <c:pt idx="6">
                  <c:v>5941.2</c:v>
                </c:pt>
                <c:pt idx="7">
                  <c:v>5709.44</c:v>
                </c:pt>
                <c:pt idx="8">
                  <c:v>5759.25</c:v>
                </c:pt>
                <c:pt idx="9">
                  <c:v>5757.3</c:v>
                </c:pt>
                <c:pt idx="10">
                  <c:v>5859.95</c:v>
                </c:pt>
                <c:pt idx="11">
                  <c:v>6077.06</c:v>
                </c:pt>
                <c:pt idx="12">
                  <c:v>6031.21</c:v>
                </c:pt>
                <c:pt idx="13">
                  <c:v>5687.75</c:v>
                </c:pt>
                <c:pt idx="14">
                  <c:v>5182.63</c:v>
                </c:pt>
                <c:pt idx="15">
                  <c:v>5057.97</c:v>
                </c:pt>
                <c:pt idx="16">
                  <c:v>5239.83</c:v>
                </c:pt>
                <c:pt idx="17">
                  <c:v>5754.6</c:v>
                </c:pt>
                <c:pt idx="18">
                  <c:v>6372.46</c:v>
                </c:pt>
                <c:pt idx="19">
                  <c:v>6498.94</c:v>
                </c:pt>
                <c:pt idx="20">
                  <c:v>6704.9</c:v>
                </c:pt>
                <c:pt idx="21">
                  <c:v>6713.81</c:v>
                </c:pt>
                <c:pt idx="22">
                  <c:v>7068.91</c:v>
                </c:pt>
                <c:pt idx="23">
                  <c:v>7772.24</c:v>
                </c:pt>
                <c:pt idx="24">
                  <c:v>7972.15</c:v>
                </c:pt>
                <c:pt idx="25">
                  <c:v>8470.94</c:v>
                </c:pt>
                <c:pt idx="26">
                  <c:v>8988.25</c:v>
                </c:pt>
                <c:pt idx="27">
                  <c:v>9324.82</c:v>
                </c:pt>
                <c:pt idx="28">
                  <c:v>10161.969999999999</c:v>
                </c:pt>
                <c:pt idx="29">
                  <c:v>9631.5</c:v>
                </c:pt>
                <c:pt idx="30">
                  <c:v>9450.82</c:v>
                </c:pt>
                <c:pt idx="31">
                  <c:v>9370.14</c:v>
                </c:pt>
                <c:pt idx="32">
                  <c:v>9324.7099999999991</c:v>
                </c:pt>
                <c:pt idx="33">
                  <c:v>9829.2199999999993</c:v>
                </c:pt>
                <c:pt idx="34">
                  <c:v>9728.9</c:v>
                </c:pt>
                <c:pt idx="35">
                  <c:v>9551.18</c:v>
                </c:pt>
                <c:pt idx="36">
                  <c:v>9782.34</c:v>
                </c:pt>
                <c:pt idx="37">
                  <c:v>9943.17</c:v>
                </c:pt>
                <c:pt idx="38">
                  <c:v>10230.89</c:v>
                </c:pt>
                <c:pt idx="39">
                  <c:v>10161.379999999999</c:v>
                </c:pt>
                <c:pt idx="40">
                  <c:v>9377.15</c:v>
                </c:pt>
                <c:pt idx="41">
                  <c:v>9024.4599999999991</c:v>
                </c:pt>
                <c:pt idx="42">
                  <c:v>7544.81</c:v>
                </c:pt>
                <c:pt idx="43">
                  <c:v>7981.84</c:v>
                </c:pt>
                <c:pt idx="44">
                  <c:v>7746.01</c:v>
                </c:pt>
                <c:pt idx="45">
                  <c:v>7651.08</c:v>
                </c:pt>
                <c:pt idx="46">
                  <c:v>8049.86</c:v>
                </c:pt>
                <c:pt idx="47">
                  <c:v>8375.4</c:v>
                </c:pt>
                <c:pt idx="48" formatCode="General">
                  <c:v>9038</c:v>
                </c:pt>
                <c:pt idx="49">
                  <c:v>8936.6</c:v>
                </c:pt>
                <c:pt idx="50">
                  <c:v>8856.2999999999993</c:v>
                </c:pt>
                <c:pt idx="51">
                  <c:v>8809.42</c:v>
                </c:pt>
                <c:pt idx="52">
                  <c:v>8217.4699999999993</c:v>
                </c:pt>
                <c:pt idx="53">
                  <c:v>8396.52</c:v>
                </c:pt>
              </c:numCache>
            </c:numRef>
          </c:val>
          <c:smooth val="0"/>
          <c:extLst>
            <c:ext xmlns:c16="http://schemas.microsoft.com/office/drawing/2014/chart" uri="{C3380CC4-5D6E-409C-BE32-E72D297353CC}">
              <c16:uniqueId val="{00000000-01B0-4125-BA4B-7B3204DDCDFB}"/>
            </c:ext>
          </c:extLst>
        </c:ser>
        <c:dLbls>
          <c:showLegendKey val="0"/>
          <c:showVal val="0"/>
          <c:showCatName val="0"/>
          <c:showSerName val="0"/>
          <c:showPercent val="0"/>
          <c:showBubbleSize val="0"/>
        </c:dLbls>
        <c:marker val="1"/>
        <c:smooth val="0"/>
        <c:axId val="-1138612416"/>
        <c:axId val="-1138599904"/>
      </c:lineChart>
      <c:lineChart>
        <c:grouping val="standard"/>
        <c:varyColors val="0"/>
        <c:ser>
          <c:idx val="0"/>
          <c:order val="0"/>
          <c:tx>
            <c:strRef>
              <c:f>Sheet1!$C$1</c:f>
              <c:strCache>
                <c:ptCount val="1"/>
                <c:pt idx="0">
                  <c:v>Նավթ, դոլար/բարել, աջ առանցք</c:v>
                </c:pt>
              </c:strCache>
            </c:strRef>
          </c:tx>
          <c:spPr>
            <a:ln w="28560" cap="rnd">
              <a:solidFill>
                <a:schemeClr val="accent6"/>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Sheet1!$C$2:$C$67</c:f>
              <c:numCache>
                <c:formatCode>0</c:formatCode>
                <c:ptCount val="54"/>
                <c:pt idx="0">
                  <c:v>59.27</c:v>
                </c:pt>
                <c:pt idx="1">
                  <c:v>64.13</c:v>
                </c:pt>
                <c:pt idx="2">
                  <c:v>66.41</c:v>
                </c:pt>
                <c:pt idx="3">
                  <c:v>71.2</c:v>
                </c:pt>
                <c:pt idx="4">
                  <c:v>70.53</c:v>
                </c:pt>
                <c:pt idx="5">
                  <c:v>63.3</c:v>
                </c:pt>
                <c:pt idx="6">
                  <c:v>64</c:v>
                </c:pt>
                <c:pt idx="7">
                  <c:v>59.25</c:v>
                </c:pt>
                <c:pt idx="8">
                  <c:v>62.33</c:v>
                </c:pt>
                <c:pt idx="9">
                  <c:v>59.37</c:v>
                </c:pt>
                <c:pt idx="10">
                  <c:v>62.74</c:v>
                </c:pt>
                <c:pt idx="11">
                  <c:v>65.849999999999994</c:v>
                </c:pt>
                <c:pt idx="12">
                  <c:v>63.6</c:v>
                </c:pt>
                <c:pt idx="13">
                  <c:v>55</c:v>
                </c:pt>
                <c:pt idx="14">
                  <c:v>32.979999999999997</c:v>
                </c:pt>
                <c:pt idx="15">
                  <c:v>23.34</c:v>
                </c:pt>
                <c:pt idx="16">
                  <c:v>31.02</c:v>
                </c:pt>
                <c:pt idx="17">
                  <c:v>39.93</c:v>
                </c:pt>
                <c:pt idx="18">
                  <c:v>42.81</c:v>
                </c:pt>
                <c:pt idx="19">
                  <c:v>44.26</c:v>
                </c:pt>
                <c:pt idx="20">
                  <c:v>41.09</c:v>
                </c:pt>
                <c:pt idx="21">
                  <c:v>40.47</c:v>
                </c:pt>
                <c:pt idx="22">
                  <c:v>43.23</c:v>
                </c:pt>
                <c:pt idx="23">
                  <c:v>49.87</c:v>
                </c:pt>
                <c:pt idx="24">
                  <c:v>54.55</c:v>
                </c:pt>
                <c:pt idx="25">
                  <c:v>61.96</c:v>
                </c:pt>
                <c:pt idx="26">
                  <c:v>65.19</c:v>
                </c:pt>
                <c:pt idx="27">
                  <c:v>64.77</c:v>
                </c:pt>
                <c:pt idx="28">
                  <c:v>68.040000000000006</c:v>
                </c:pt>
                <c:pt idx="29">
                  <c:v>73.069999999999993</c:v>
                </c:pt>
                <c:pt idx="30">
                  <c:v>74.39</c:v>
                </c:pt>
                <c:pt idx="31">
                  <c:v>70.02</c:v>
                </c:pt>
                <c:pt idx="32">
                  <c:v>74.599999999999994</c:v>
                </c:pt>
                <c:pt idx="33">
                  <c:v>83.65</c:v>
                </c:pt>
                <c:pt idx="34">
                  <c:v>80.77</c:v>
                </c:pt>
                <c:pt idx="35">
                  <c:v>74.31</c:v>
                </c:pt>
                <c:pt idx="36">
                  <c:v>85.53</c:v>
                </c:pt>
                <c:pt idx="37">
                  <c:v>95.76</c:v>
                </c:pt>
                <c:pt idx="38">
                  <c:v>115.59</c:v>
                </c:pt>
                <c:pt idx="39">
                  <c:v>105.78</c:v>
                </c:pt>
                <c:pt idx="40">
                  <c:v>112.37</c:v>
                </c:pt>
                <c:pt idx="41">
                  <c:v>120.08</c:v>
                </c:pt>
                <c:pt idx="42">
                  <c:v>108.92</c:v>
                </c:pt>
                <c:pt idx="43">
                  <c:v>98.6</c:v>
                </c:pt>
                <c:pt idx="44">
                  <c:v>90.16</c:v>
                </c:pt>
                <c:pt idx="45">
                  <c:v>93.13</c:v>
                </c:pt>
                <c:pt idx="46">
                  <c:v>91.07</c:v>
                </c:pt>
                <c:pt idx="47">
                  <c:v>80.900000000000006</c:v>
                </c:pt>
                <c:pt idx="48">
                  <c:v>83.1</c:v>
                </c:pt>
                <c:pt idx="49">
                  <c:v>82.7</c:v>
                </c:pt>
                <c:pt idx="50">
                  <c:v>78.5</c:v>
                </c:pt>
                <c:pt idx="51">
                  <c:v>84.11</c:v>
                </c:pt>
                <c:pt idx="52">
                  <c:v>75.7</c:v>
                </c:pt>
                <c:pt idx="53">
                  <c:v>74.89</c:v>
                </c:pt>
              </c:numCache>
            </c:numRef>
          </c:val>
          <c:smooth val="0"/>
          <c:extLst>
            <c:ext xmlns:c16="http://schemas.microsoft.com/office/drawing/2014/chart" uri="{C3380CC4-5D6E-409C-BE32-E72D297353CC}">
              <c16:uniqueId val="{00000001-01B0-4125-BA4B-7B3204DDCDFB}"/>
            </c:ext>
          </c:extLst>
        </c:ser>
        <c:ser>
          <c:idx val="2"/>
          <c:order val="2"/>
          <c:tx>
            <c:strRef>
              <c:f>Sheet1!$E$1</c:f>
              <c:strCache>
                <c:ptCount val="1"/>
                <c:pt idx="0">
                  <c:v>Մոլիբդեն, հազար դոլար/տոննա, աջ առանցք</c:v>
                </c:pt>
              </c:strCache>
            </c:strRef>
          </c:tx>
          <c:spPr>
            <a:ln w="28560" cap="rnd">
              <a:solidFill>
                <a:schemeClr val="tx2"/>
              </a:solidFill>
              <a:round/>
            </a:ln>
            <a:effectLst/>
          </c:spPr>
          <c:marker>
            <c:symbol val="none"/>
          </c:marker>
          <c:cat>
            <c:multiLvlStrRef>
              <c:f>Sheet1!$A$14:$B$67</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2019</c:v>
                  </c:pt>
                  <c:pt idx="12">
                    <c:v>2020</c:v>
                  </c:pt>
                  <c:pt idx="24">
                    <c:v>2021</c:v>
                  </c:pt>
                  <c:pt idx="36">
                    <c:v>2022</c:v>
                  </c:pt>
                  <c:pt idx="48">
                    <c:v>2023</c:v>
                  </c:pt>
                </c:lvl>
              </c:multiLvlStrCache>
            </c:multiLvlStrRef>
          </c:cat>
          <c:val>
            <c:numRef>
              <c:f>Sheet1!$E$2:$E$67</c:f>
              <c:numCache>
                <c:formatCode>0</c:formatCode>
                <c:ptCount val="54"/>
                <c:pt idx="0">
                  <c:v>27.59</c:v>
                </c:pt>
                <c:pt idx="1">
                  <c:v>27.349</c:v>
                </c:pt>
                <c:pt idx="2">
                  <c:v>29.277000000000001</c:v>
                </c:pt>
                <c:pt idx="3">
                  <c:v>29.518000000000001</c:v>
                </c:pt>
                <c:pt idx="4">
                  <c:v>28.553999999999998</c:v>
                </c:pt>
                <c:pt idx="5">
                  <c:v>28.553999999999998</c:v>
                </c:pt>
                <c:pt idx="6">
                  <c:v>27.59</c:v>
                </c:pt>
                <c:pt idx="7">
                  <c:v>27.831</c:v>
                </c:pt>
                <c:pt idx="8">
                  <c:v>28.071999999999999</c:v>
                </c:pt>
                <c:pt idx="9">
                  <c:v>27.349</c:v>
                </c:pt>
                <c:pt idx="10">
                  <c:v>20.843</c:v>
                </c:pt>
                <c:pt idx="11">
                  <c:v>22.289000000000001</c:v>
                </c:pt>
                <c:pt idx="12">
                  <c:v>24.457999999999998</c:v>
                </c:pt>
                <c:pt idx="13">
                  <c:v>26.145</c:v>
                </c:pt>
                <c:pt idx="14">
                  <c:v>26.145</c:v>
                </c:pt>
                <c:pt idx="15">
                  <c:v>21.324999999999999</c:v>
                </c:pt>
                <c:pt idx="16">
                  <c:v>20.602</c:v>
                </c:pt>
                <c:pt idx="17">
                  <c:v>19.398</c:v>
                </c:pt>
                <c:pt idx="18">
                  <c:v>19.638999999999999</c:v>
                </c:pt>
                <c:pt idx="19">
                  <c:v>18.916</c:v>
                </c:pt>
                <c:pt idx="20">
                  <c:v>21.324999999999999</c:v>
                </c:pt>
                <c:pt idx="21">
                  <c:v>22.289000000000001</c:v>
                </c:pt>
                <c:pt idx="22">
                  <c:v>23.734999999999999</c:v>
                </c:pt>
                <c:pt idx="23">
                  <c:v>23.494</c:v>
                </c:pt>
                <c:pt idx="24">
                  <c:v>22.438650000000003</c:v>
                </c:pt>
                <c:pt idx="25">
                  <c:v>25.669520000000002</c:v>
                </c:pt>
                <c:pt idx="26">
                  <c:v>26.593499999999999</c:v>
                </c:pt>
                <c:pt idx="27">
                  <c:v>24.53304</c:v>
                </c:pt>
                <c:pt idx="28">
                  <c:v>28.057130000000001</c:v>
                </c:pt>
                <c:pt idx="29">
                  <c:v>38.750300000000003</c:v>
                </c:pt>
                <c:pt idx="30">
                  <c:v>40.744430000000001</c:v>
                </c:pt>
                <c:pt idx="31">
                  <c:v>41.846890000000002</c:v>
                </c:pt>
                <c:pt idx="32">
                  <c:v>43.57837</c:v>
                </c:pt>
                <c:pt idx="33">
                  <c:v>41.836390000000002</c:v>
                </c:pt>
                <c:pt idx="34">
                  <c:v>41.931919999999998</c:v>
                </c:pt>
                <c:pt idx="35">
                  <c:v>44.75</c:v>
                </c:pt>
                <c:pt idx="36">
                  <c:v>44.75</c:v>
                </c:pt>
                <c:pt idx="37">
                  <c:v>46.499724999999998</c:v>
                </c:pt>
                <c:pt idx="38">
                  <c:v>48.317864247499998</c:v>
                </c:pt>
                <c:pt idx="39">
                  <c:v>46.539000000000001</c:v>
                </c:pt>
                <c:pt idx="40">
                  <c:v>45.773857142857146</c:v>
                </c:pt>
                <c:pt idx="41">
                  <c:v>43.546999999999997</c:v>
                </c:pt>
                <c:pt idx="42">
                  <c:v>43.432000000000002</c:v>
                </c:pt>
                <c:pt idx="43">
                  <c:v>38.496499999999997</c:v>
                </c:pt>
                <c:pt idx="44">
                  <c:v>40.328000000000003</c:v>
                </c:pt>
                <c:pt idx="45">
                  <c:v>45.180999999999997</c:v>
                </c:pt>
                <c:pt idx="46">
                  <c:v>46.866999999999997</c:v>
                </c:pt>
                <c:pt idx="47">
                  <c:v>46.627000000000002</c:v>
                </c:pt>
                <c:pt idx="48">
                  <c:v>73.566000000000003</c:v>
                </c:pt>
                <c:pt idx="49">
                  <c:v>96.120999999999995</c:v>
                </c:pt>
                <c:pt idx="50">
                  <c:v>74.144999999999996</c:v>
                </c:pt>
                <c:pt idx="51">
                  <c:v>52.481999999999999</c:v>
                </c:pt>
                <c:pt idx="52">
                  <c:v>52.091000000000001</c:v>
                </c:pt>
                <c:pt idx="53">
                  <c:v>53.149000000000001</c:v>
                </c:pt>
              </c:numCache>
            </c:numRef>
          </c:val>
          <c:smooth val="0"/>
          <c:extLst>
            <c:ext xmlns:c16="http://schemas.microsoft.com/office/drawing/2014/chart" uri="{C3380CC4-5D6E-409C-BE32-E72D297353CC}">
              <c16:uniqueId val="{00000002-01B0-4125-BA4B-7B3204DDCDFB}"/>
            </c:ext>
          </c:extLst>
        </c:ser>
        <c:dLbls>
          <c:showLegendKey val="0"/>
          <c:showVal val="0"/>
          <c:showCatName val="0"/>
          <c:showSerName val="0"/>
          <c:showPercent val="0"/>
          <c:showBubbleSize val="0"/>
        </c:dLbls>
        <c:marker val="1"/>
        <c:smooth val="0"/>
        <c:axId val="-1138606432"/>
        <c:axId val="-1138599360"/>
      </c:lineChart>
      <c:catAx>
        <c:axId val="-1138612416"/>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599904"/>
        <c:crosses val="autoZero"/>
        <c:auto val="1"/>
        <c:lblAlgn val="ctr"/>
        <c:lblOffset val="0"/>
        <c:noMultiLvlLbl val="0"/>
      </c:catAx>
      <c:valAx>
        <c:axId val="-1138599904"/>
        <c:scaling>
          <c:orientation val="minMax"/>
        </c:scaling>
        <c:delete val="0"/>
        <c:axPos val="l"/>
        <c:majorGridlines>
          <c:spPr>
            <a:ln w="9520" cap="flat" cmpd="sng" algn="ctr">
              <a:solidFill>
                <a:schemeClr val="tx1">
                  <a:lumMod val="15000"/>
                  <a:lumOff val="85000"/>
                </a:schemeClr>
              </a:solidFill>
              <a:round/>
            </a:ln>
            <a:effectLst/>
          </c:spPr>
        </c:majorGridlines>
        <c:numFmt formatCode="0" sourceLinked="1"/>
        <c:majorTickMark val="none"/>
        <c:minorTickMark val="none"/>
        <c:tickLblPos val="nextTo"/>
        <c:spPr>
          <a:ln w="952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612416"/>
        <c:crosses val="autoZero"/>
        <c:crossBetween val="between"/>
      </c:valAx>
      <c:catAx>
        <c:axId val="-1138606432"/>
        <c:scaling>
          <c:orientation val="minMax"/>
        </c:scaling>
        <c:delete val="1"/>
        <c:axPos val="b"/>
        <c:numFmt formatCode="General" sourceLinked="1"/>
        <c:majorTickMark val="out"/>
        <c:minorTickMark val="none"/>
        <c:tickLblPos val="nextTo"/>
        <c:crossAx val="-1138599360"/>
        <c:crosses val="autoZero"/>
        <c:auto val="1"/>
        <c:lblAlgn val="ctr"/>
        <c:lblOffset val="100"/>
        <c:noMultiLvlLbl val="0"/>
      </c:catAx>
      <c:valAx>
        <c:axId val="-1138599360"/>
        <c:scaling>
          <c:orientation val="minMax"/>
        </c:scaling>
        <c:delete val="0"/>
        <c:axPos val="r"/>
        <c:numFmt formatCode="0" sourceLinked="1"/>
        <c:majorTickMark val="out"/>
        <c:minorTickMark val="none"/>
        <c:tickLblPos val="nextTo"/>
        <c:spPr>
          <a:ln w="952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606432"/>
        <c:crosses val="max"/>
        <c:crossBetween val="between"/>
      </c:valAx>
      <c:spPr>
        <a:noFill/>
        <a:ln w="25387">
          <a:noFill/>
        </a:ln>
      </c:spPr>
    </c:plotArea>
    <c:legend>
      <c:legendPos val="b"/>
      <c:layout>
        <c:manualLayout>
          <c:xMode val="edge"/>
          <c:yMode val="edge"/>
          <c:x val="4.4129483814523184E-3"/>
          <c:y val="0.80203579815680925"/>
          <c:w val="0.9831025212757496"/>
          <c:h val="0.19796380715568451"/>
        </c:manualLayout>
      </c:layout>
      <c:overlay val="0"/>
      <c:spPr>
        <a:noFill/>
        <a:ln w="25387">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0"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213904375767289"/>
          <c:y val="4.9132568689029481E-2"/>
          <c:w val="0.73015263297291988"/>
          <c:h val="0.585868114029099"/>
        </c:manualLayout>
      </c:layout>
      <c:lineChart>
        <c:grouping val="standard"/>
        <c:varyColors val="0"/>
        <c:ser>
          <c:idx val="0"/>
          <c:order val="0"/>
          <c:tx>
            <c:strRef>
              <c:f>Sheet1!$B$1</c:f>
              <c:strCache>
                <c:ptCount val="1"/>
                <c:pt idx="0">
                  <c:v>Պարենի գնի համաթիվ</c:v>
                </c:pt>
              </c:strCache>
            </c:strRef>
          </c:tx>
          <c:spPr>
            <a:ln w="28562" cap="rnd">
              <a:solidFill>
                <a:srgbClr val="1F497D"/>
              </a:solidFill>
              <a:round/>
            </a:ln>
            <a:effectLst/>
          </c:spPr>
          <c:marker>
            <c:symbol val="none"/>
          </c:marker>
          <c:cat>
            <c:strRef>
              <c:f>Sheet1!$A$2:$A$55</c:f>
              <c:strCache>
                <c:ptCount val="54"/>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2023 - 4</c:v>
                </c:pt>
                <c:pt idx="52">
                  <c:v>2023 - 5</c:v>
                </c:pt>
                <c:pt idx="53">
                  <c:v>2023 - 6</c:v>
                </c:pt>
              </c:strCache>
            </c:strRef>
          </c:cat>
          <c:val>
            <c:numRef>
              <c:f>Sheet1!$B$2:$B$55</c:f>
              <c:numCache>
                <c:formatCode>0.0</c:formatCode>
                <c:ptCount val="54"/>
                <c:pt idx="0">
                  <c:v>100</c:v>
                </c:pt>
                <c:pt idx="1">
                  <c:v>100.74453890270553</c:v>
                </c:pt>
                <c:pt idx="2">
                  <c:v>99.832132827399604</c:v>
                </c:pt>
                <c:pt idx="3">
                  <c:v>100.31753700950637</c:v>
                </c:pt>
                <c:pt idx="4">
                  <c:v>101.02084693992067</c:v>
                </c:pt>
                <c:pt idx="5">
                  <c:v>102.23965210334796</c:v>
                </c:pt>
                <c:pt idx="6">
                  <c:v>101.96319281775789</c:v>
                </c:pt>
                <c:pt idx="7">
                  <c:v>100.82421534090194</c:v>
                </c:pt>
                <c:pt idx="8">
                  <c:v>100.0574124353123</c:v>
                </c:pt>
                <c:pt idx="9">
                  <c:v>102.07071553450325</c:v>
                </c:pt>
                <c:pt idx="10">
                  <c:v>105.69159498568746</c:v>
                </c:pt>
                <c:pt idx="11">
                  <c:v>108.24274701853363</c:v>
                </c:pt>
                <c:pt idx="12">
                  <c:v>109.85911726662653</c:v>
                </c:pt>
                <c:pt idx="13">
                  <c:v>106.54119961188425</c:v>
                </c:pt>
                <c:pt idx="14">
                  <c:v>101.99558194667132</c:v>
                </c:pt>
                <c:pt idx="15">
                  <c:v>99.155350990555917</c:v>
                </c:pt>
                <c:pt idx="16">
                  <c:v>97.664150112245395</c:v>
                </c:pt>
                <c:pt idx="17">
                  <c:v>99.936540825253985</c:v>
                </c:pt>
                <c:pt idx="18">
                  <c:v>100.77842889257241</c:v>
                </c:pt>
                <c:pt idx="19">
                  <c:v>102.78720724941809</c:v>
                </c:pt>
                <c:pt idx="20">
                  <c:v>105.03288274311672</c:v>
                </c:pt>
                <c:pt idx="21">
                  <c:v>108.63882062522549</c:v>
                </c:pt>
                <c:pt idx="22">
                  <c:v>113.15001130745854</c:v>
                </c:pt>
                <c:pt idx="23">
                  <c:v>116.37654118872092</c:v>
                </c:pt>
                <c:pt idx="24">
                  <c:v>121.65831839495753</c:v>
                </c:pt>
                <c:pt idx="25">
                  <c:v>124.92143317820711</c:v>
                </c:pt>
                <c:pt idx="26">
                  <c:v>127.77072558939832</c:v>
                </c:pt>
                <c:pt idx="27">
                  <c:v>130.81089912356762</c:v>
                </c:pt>
                <c:pt idx="28">
                  <c:v>137.30426601932751</c:v>
                </c:pt>
                <c:pt idx="29">
                  <c:v>134.25232125150248</c:v>
                </c:pt>
                <c:pt idx="30">
                  <c:v>133.4884829370381</c:v>
                </c:pt>
                <c:pt idx="31">
                  <c:v>137.12484937262627</c:v>
                </c:pt>
                <c:pt idx="32">
                  <c:v>138.44409662675565</c:v>
                </c:pt>
                <c:pt idx="33">
                  <c:v>142.76834637008389</c:v>
                </c:pt>
                <c:pt idx="34">
                  <c:v>145.00858965514425</c:v>
                </c:pt>
                <c:pt idx="35">
                  <c:v>143.26851703879638</c:v>
                </c:pt>
                <c:pt idx="36">
                  <c:v>145.3079002302855</c:v>
                </c:pt>
                <c:pt idx="37">
                  <c:v>151.35332825484298</c:v>
                </c:pt>
                <c:pt idx="38">
                  <c:v>171.15477337302912</c:v>
                </c:pt>
                <c:pt idx="39">
                  <c:v>169.78507056106341</c:v>
                </c:pt>
                <c:pt idx="40">
                  <c:v>169.37547831364941</c:v>
                </c:pt>
                <c:pt idx="41">
                  <c:v>165.79125941340135</c:v>
                </c:pt>
                <c:pt idx="42">
                  <c:v>150.64279187151291</c:v>
                </c:pt>
                <c:pt idx="43">
                  <c:v>147.43552710500325</c:v>
                </c:pt>
                <c:pt idx="44">
                  <c:v>145.78756264512978</c:v>
                </c:pt>
                <c:pt idx="45">
                  <c:v>145.07676688971267</c:v>
                </c:pt>
                <c:pt idx="46">
                  <c:v>144.38990540625946</c:v>
                </c:pt>
                <c:pt idx="47">
                  <c:v>141.2361280986444</c:v>
                </c:pt>
                <c:pt idx="48">
                  <c:v>139.52897883078353</c:v>
                </c:pt>
                <c:pt idx="49">
                  <c:v>139.11671366357982</c:v>
                </c:pt>
                <c:pt idx="50">
                  <c:v>136.10259826251581</c:v>
                </c:pt>
                <c:pt idx="51">
                  <c:v>136.83507050214098</c:v>
                </c:pt>
                <c:pt idx="52">
                  <c:v>133.24491225548974</c:v>
                </c:pt>
                <c:pt idx="53">
                  <c:v>131.06137378117782</c:v>
                </c:pt>
              </c:numCache>
            </c:numRef>
          </c:val>
          <c:smooth val="0"/>
          <c:extLst>
            <c:ext xmlns:c16="http://schemas.microsoft.com/office/drawing/2014/chart" uri="{C3380CC4-5D6E-409C-BE32-E72D297353CC}">
              <c16:uniqueId val="{00000000-3311-46FD-BE1D-4E0A4153C65E}"/>
            </c:ext>
          </c:extLst>
        </c:ser>
        <c:ser>
          <c:idx val="1"/>
          <c:order val="1"/>
          <c:tx>
            <c:strRef>
              <c:f>Sheet1!$C$1</c:f>
              <c:strCache>
                <c:ptCount val="1"/>
                <c:pt idx="0">
                  <c:v>Միս</c:v>
                </c:pt>
              </c:strCache>
            </c:strRef>
          </c:tx>
          <c:spPr>
            <a:ln w="12694" cap="rnd">
              <a:solidFill>
                <a:sysClr val="window" lastClr="FFFFFF">
                  <a:lumMod val="50000"/>
                </a:sysClr>
              </a:solidFill>
              <a:round/>
            </a:ln>
            <a:effectLst/>
          </c:spPr>
          <c:marker>
            <c:symbol val="none"/>
          </c:marker>
          <c:cat>
            <c:strRef>
              <c:f>Sheet1!$A$2:$A$55</c:f>
              <c:strCache>
                <c:ptCount val="54"/>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2023 - 4</c:v>
                </c:pt>
                <c:pt idx="52">
                  <c:v>2023 - 5</c:v>
                </c:pt>
                <c:pt idx="53">
                  <c:v>2023 - 6</c:v>
                </c:pt>
              </c:strCache>
            </c:strRef>
          </c:cat>
          <c:val>
            <c:numRef>
              <c:f>Sheet1!$C$2:$C$55</c:f>
              <c:numCache>
                <c:formatCode>0.0</c:formatCode>
                <c:ptCount val="54"/>
                <c:pt idx="0">
                  <c:v>100</c:v>
                </c:pt>
                <c:pt idx="1">
                  <c:v>100.89382651043778</c:v>
                </c:pt>
                <c:pt idx="2">
                  <c:v>102.50156164381458</c:v>
                </c:pt>
                <c:pt idx="3">
                  <c:v>105.94542842382498</c:v>
                </c:pt>
                <c:pt idx="4">
                  <c:v>108.9578899623221</c:v>
                </c:pt>
                <c:pt idx="5">
                  <c:v>109.7112869950171</c:v>
                </c:pt>
                <c:pt idx="6">
                  <c:v>111.02445504971973</c:v>
                </c:pt>
                <c:pt idx="7">
                  <c:v>110.84259704419428</c:v>
                </c:pt>
                <c:pt idx="8">
                  <c:v>109.47961507107598</c:v>
                </c:pt>
                <c:pt idx="9">
                  <c:v>110.05895691544292</c:v>
                </c:pt>
                <c:pt idx="10">
                  <c:v>115.45079898372904</c:v>
                </c:pt>
                <c:pt idx="11">
                  <c:v>115.58266625358216</c:v>
                </c:pt>
                <c:pt idx="12">
                  <c:v>112.29051058854664</c:v>
                </c:pt>
                <c:pt idx="13">
                  <c:v>108.87962695707913</c:v>
                </c:pt>
                <c:pt idx="14">
                  <c:v>107.75461124716239</c:v>
                </c:pt>
                <c:pt idx="15">
                  <c:v>105.02501121896981</c:v>
                </c:pt>
                <c:pt idx="16">
                  <c:v>103.40959303622228</c:v>
                </c:pt>
                <c:pt idx="17">
                  <c:v>102.75986548640878</c:v>
                </c:pt>
                <c:pt idx="18">
                  <c:v>99.953576839975611</c:v>
                </c:pt>
                <c:pt idx="19">
                  <c:v>99.927529852408483</c:v>
                </c:pt>
                <c:pt idx="20">
                  <c:v>99.137473353780067</c:v>
                </c:pt>
                <c:pt idx="21">
                  <c:v>99.472804816040963</c:v>
                </c:pt>
                <c:pt idx="22">
                  <c:v>101.13605313987937</c:v>
                </c:pt>
                <c:pt idx="23">
                  <c:v>102.79097619978188</c:v>
                </c:pt>
                <c:pt idx="24">
                  <c:v>104.00018051327531</c:v>
                </c:pt>
                <c:pt idx="25">
                  <c:v>105.95893633292587</c:v>
                </c:pt>
                <c:pt idx="26">
                  <c:v>109.20436144823053</c:v>
                </c:pt>
                <c:pt idx="27">
                  <c:v>113.08705779161301</c:v>
                </c:pt>
                <c:pt idx="28">
                  <c:v>116.38077467368926</c:v>
                </c:pt>
                <c:pt idx="29">
                  <c:v>119.95958468735375</c:v>
                </c:pt>
                <c:pt idx="30">
                  <c:v>123.67339307268786</c:v>
                </c:pt>
                <c:pt idx="31">
                  <c:v>122.9359923531395</c:v>
                </c:pt>
                <c:pt idx="32">
                  <c:v>122.12209010220813</c:v>
                </c:pt>
                <c:pt idx="33">
                  <c:v>121.34972751815869</c:v>
                </c:pt>
                <c:pt idx="34">
                  <c:v>121.93538976479982</c:v>
                </c:pt>
                <c:pt idx="35">
                  <c:v>120.3316311831653</c:v>
                </c:pt>
                <c:pt idx="36">
                  <c:v>121.54282491034134</c:v>
                </c:pt>
                <c:pt idx="37">
                  <c:v>123.41343700517467</c:v>
                </c:pt>
                <c:pt idx="38">
                  <c:v>129.31863354144474</c:v>
                </c:pt>
                <c:pt idx="39">
                  <c:v>132.11451837876544</c:v>
                </c:pt>
                <c:pt idx="40">
                  <c:v>133.16726615138023</c:v>
                </c:pt>
                <c:pt idx="41">
                  <c:v>136.47240432057984</c:v>
                </c:pt>
                <c:pt idx="42">
                  <c:v>134.44629883580902</c:v>
                </c:pt>
                <c:pt idx="43">
                  <c:v>131.23894152039051</c:v>
                </c:pt>
                <c:pt idx="44">
                  <c:v>130.3523200881308</c:v>
                </c:pt>
                <c:pt idx="45">
                  <c:v>126.61319947289506</c:v>
                </c:pt>
                <c:pt idx="46">
                  <c:v>124.22928767560416</c:v>
                </c:pt>
                <c:pt idx="47">
                  <c:v>121.8208849987623</c:v>
                </c:pt>
                <c:pt idx="48">
                  <c:v>120.43665627393959</c:v>
                </c:pt>
                <c:pt idx="49">
                  <c:v>122.81408036116085</c:v>
                </c:pt>
                <c:pt idx="50">
                  <c:v>124.29910044912482</c:v>
                </c:pt>
                <c:pt idx="51">
                  <c:v>126.51713517444848</c:v>
                </c:pt>
                <c:pt idx="52">
                  <c:v>127.73719009507172</c:v>
                </c:pt>
                <c:pt idx="53">
                  <c:v>127.77733404475546</c:v>
                </c:pt>
              </c:numCache>
            </c:numRef>
          </c:val>
          <c:smooth val="0"/>
          <c:extLst>
            <c:ext xmlns:c16="http://schemas.microsoft.com/office/drawing/2014/chart" uri="{C3380CC4-5D6E-409C-BE32-E72D297353CC}">
              <c16:uniqueId val="{00000001-3311-46FD-BE1D-4E0A4153C65E}"/>
            </c:ext>
          </c:extLst>
        </c:ser>
        <c:ser>
          <c:idx val="2"/>
          <c:order val="2"/>
          <c:tx>
            <c:strRef>
              <c:f>Sheet1!$D$1</c:f>
              <c:strCache>
                <c:ptCount val="1"/>
                <c:pt idx="0">
                  <c:v>Կաթնամթերք</c:v>
                </c:pt>
              </c:strCache>
            </c:strRef>
          </c:tx>
          <c:spPr>
            <a:ln w="12694" cap="rnd">
              <a:solidFill>
                <a:srgbClr val="F79646"/>
              </a:solidFill>
              <a:round/>
            </a:ln>
            <a:effectLst/>
          </c:spPr>
          <c:marker>
            <c:symbol val="none"/>
          </c:marker>
          <c:cat>
            <c:strRef>
              <c:f>Sheet1!$A$2:$A$55</c:f>
              <c:strCache>
                <c:ptCount val="54"/>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2023 - 4</c:v>
                </c:pt>
                <c:pt idx="52">
                  <c:v>2023 - 5</c:v>
                </c:pt>
                <c:pt idx="53">
                  <c:v>2023 - 6</c:v>
                </c:pt>
              </c:strCache>
            </c:strRef>
          </c:cat>
          <c:val>
            <c:numRef>
              <c:f>Sheet1!$D$2:$D$55</c:f>
              <c:numCache>
                <c:formatCode>0.0</c:formatCode>
                <c:ptCount val="54"/>
                <c:pt idx="0">
                  <c:v>100</c:v>
                </c:pt>
                <c:pt idx="1">
                  <c:v>102.79088173953953</c:v>
                </c:pt>
                <c:pt idx="2">
                  <c:v>104.65645969082081</c:v>
                </c:pt>
                <c:pt idx="3">
                  <c:v>105.13242449586475</c:v>
                </c:pt>
                <c:pt idx="4">
                  <c:v>105.59289868247235</c:v>
                </c:pt>
                <c:pt idx="5">
                  <c:v>101.9258681400421</c:v>
                </c:pt>
                <c:pt idx="6">
                  <c:v>100.11613268066765</c:v>
                </c:pt>
                <c:pt idx="7">
                  <c:v>99.358745923751528</c:v>
                </c:pt>
                <c:pt idx="8">
                  <c:v>98.70342642414947</c:v>
                </c:pt>
                <c:pt idx="9">
                  <c:v>99.874433528895068</c:v>
                </c:pt>
                <c:pt idx="10">
                  <c:v>101.49237329423926</c:v>
                </c:pt>
                <c:pt idx="11">
                  <c:v>102.57162094379964</c:v>
                </c:pt>
                <c:pt idx="12">
                  <c:v>102.87063092330064</c:v>
                </c:pt>
                <c:pt idx="13">
                  <c:v>101.88671873852967</c:v>
                </c:pt>
                <c:pt idx="14">
                  <c:v>100.57216594765747</c:v>
                </c:pt>
                <c:pt idx="15">
                  <c:v>94.85541180536778</c:v>
                </c:pt>
                <c:pt idx="16">
                  <c:v>93.539673582469774</c:v>
                </c:pt>
                <c:pt idx="17">
                  <c:v>97.410138227753947</c:v>
                </c:pt>
                <c:pt idx="18">
                  <c:v>100.83250143127985</c:v>
                </c:pt>
                <c:pt idx="19">
                  <c:v>101.14264602784645</c:v>
                </c:pt>
                <c:pt idx="20">
                  <c:v>101.35839722165771</c:v>
                </c:pt>
                <c:pt idx="21">
                  <c:v>103.4998133741383</c:v>
                </c:pt>
                <c:pt idx="22">
                  <c:v>104.39330368509646</c:v>
                </c:pt>
                <c:pt idx="23">
                  <c:v>108.1614192133524</c:v>
                </c:pt>
                <c:pt idx="24">
                  <c:v>110.20312246920356</c:v>
                </c:pt>
                <c:pt idx="25">
                  <c:v>112.01347204740341</c:v>
                </c:pt>
                <c:pt idx="26">
                  <c:v>116.35791851074396</c:v>
                </c:pt>
                <c:pt idx="27">
                  <c:v>117.98773818082701</c:v>
                </c:pt>
                <c:pt idx="28">
                  <c:v>119.99502104091046</c:v>
                </c:pt>
                <c:pt idx="29">
                  <c:v>118.78863620491821</c:v>
                </c:pt>
                <c:pt idx="30">
                  <c:v>115.63454509861253</c:v>
                </c:pt>
                <c:pt idx="31">
                  <c:v>115.07162667689985</c:v>
                </c:pt>
                <c:pt idx="32">
                  <c:v>117.02290932854433</c:v>
                </c:pt>
                <c:pt idx="33">
                  <c:v>120.32030282356355</c:v>
                </c:pt>
                <c:pt idx="34">
                  <c:v>124.80382329993753</c:v>
                </c:pt>
                <c:pt idx="35">
                  <c:v>127.75314168728802</c:v>
                </c:pt>
                <c:pt idx="36">
                  <c:v>131.38839047060878</c:v>
                </c:pt>
                <c:pt idx="37">
                  <c:v>140.20189444991058</c:v>
                </c:pt>
                <c:pt idx="38">
                  <c:v>144.46315367173901</c:v>
                </c:pt>
                <c:pt idx="39">
                  <c:v>145.31319437878705</c:v>
                </c:pt>
                <c:pt idx="40">
                  <c:v>142.82546142349045</c:v>
                </c:pt>
                <c:pt idx="41">
                  <c:v>148.77295834364918</c:v>
                </c:pt>
                <c:pt idx="42">
                  <c:v>145.09144041732978</c:v>
                </c:pt>
                <c:pt idx="43">
                  <c:v>142.00683409562455</c:v>
                </c:pt>
                <c:pt idx="44">
                  <c:v>141.35492692661768</c:v>
                </c:pt>
                <c:pt idx="45">
                  <c:v>137.94649153309936</c:v>
                </c:pt>
                <c:pt idx="46">
                  <c:v>136.0964363201924</c:v>
                </c:pt>
                <c:pt idx="47">
                  <c:v>136.87362784925605</c:v>
                </c:pt>
                <c:pt idx="48">
                  <c:v>133.2711941909495</c:v>
                </c:pt>
                <c:pt idx="49">
                  <c:v>128.13713542034475</c:v>
                </c:pt>
                <c:pt idx="50">
                  <c:v>125.5976608532889</c:v>
                </c:pt>
                <c:pt idx="51">
                  <c:v>121.40408142587118</c:v>
                </c:pt>
                <c:pt idx="52">
                  <c:v>117.57240493279005</c:v>
                </c:pt>
                <c:pt idx="53">
                  <c:v>115.70430482593591</c:v>
                </c:pt>
              </c:numCache>
            </c:numRef>
          </c:val>
          <c:smooth val="0"/>
          <c:extLst>
            <c:ext xmlns:c16="http://schemas.microsoft.com/office/drawing/2014/chart" uri="{C3380CC4-5D6E-409C-BE32-E72D297353CC}">
              <c16:uniqueId val="{00000002-3311-46FD-BE1D-4E0A4153C65E}"/>
            </c:ext>
          </c:extLst>
        </c:ser>
        <c:ser>
          <c:idx val="3"/>
          <c:order val="3"/>
          <c:tx>
            <c:strRef>
              <c:f>Sheet1!$E$1</c:f>
              <c:strCache>
                <c:ptCount val="1"/>
                <c:pt idx="0">
                  <c:v>Հացահատիկ</c:v>
                </c:pt>
              </c:strCache>
            </c:strRef>
          </c:tx>
          <c:spPr>
            <a:ln w="12694" cap="rnd">
              <a:solidFill>
                <a:schemeClr val="accent4"/>
              </a:solidFill>
              <a:round/>
            </a:ln>
            <a:effectLst/>
          </c:spPr>
          <c:marker>
            <c:symbol val="none"/>
          </c:marker>
          <c:cat>
            <c:strRef>
              <c:f>Sheet1!$A$2:$A$55</c:f>
              <c:strCache>
                <c:ptCount val="54"/>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2023 - 4</c:v>
                </c:pt>
                <c:pt idx="52">
                  <c:v>2023 - 5</c:v>
                </c:pt>
                <c:pt idx="53">
                  <c:v>2023 - 6</c:v>
                </c:pt>
              </c:strCache>
            </c:strRef>
          </c:cat>
          <c:val>
            <c:numRef>
              <c:f>Sheet1!$E$2:$E$55</c:f>
              <c:numCache>
                <c:formatCode>0.0</c:formatCode>
                <c:ptCount val="54"/>
                <c:pt idx="0">
                  <c:v>100</c:v>
                </c:pt>
                <c:pt idx="1">
                  <c:v>98.985395098475806</c:v>
                </c:pt>
                <c:pt idx="2">
                  <c:v>95.816626080183198</c:v>
                </c:pt>
                <c:pt idx="3">
                  <c:v>92.987942994225008</c:v>
                </c:pt>
                <c:pt idx="4">
                  <c:v>92.801046560737234</c:v>
                </c:pt>
                <c:pt idx="5">
                  <c:v>97.465520350487068</c:v>
                </c:pt>
                <c:pt idx="6">
                  <c:v>95.854793466357037</c:v>
                </c:pt>
                <c:pt idx="7">
                  <c:v>91.01473530222674</c:v>
                </c:pt>
                <c:pt idx="8">
                  <c:v>90.240091601802135</c:v>
                </c:pt>
                <c:pt idx="9">
                  <c:v>94.308612311417278</c:v>
                </c:pt>
                <c:pt idx="10">
                  <c:v>93.90698271263858</c:v>
                </c:pt>
                <c:pt idx="11">
                  <c:v>95.703138536731757</c:v>
                </c:pt>
                <c:pt idx="12">
                  <c:v>98.936351837251266</c:v>
                </c:pt>
                <c:pt idx="13">
                  <c:v>97.844578780153185</c:v>
                </c:pt>
                <c:pt idx="14">
                  <c:v>96.319077782832437</c:v>
                </c:pt>
                <c:pt idx="15">
                  <c:v>97.914255891970967</c:v>
                </c:pt>
                <c:pt idx="16">
                  <c:v>96.314261860736863</c:v>
                </c:pt>
                <c:pt idx="17">
                  <c:v>95.617224463784694</c:v>
                </c:pt>
                <c:pt idx="18">
                  <c:v>95.581822270726576</c:v>
                </c:pt>
                <c:pt idx="19">
                  <c:v>97.492093538398393</c:v>
                </c:pt>
                <c:pt idx="20">
                  <c:v>102.51289527455974</c:v>
                </c:pt>
                <c:pt idx="21">
                  <c:v>110.13891645112076</c:v>
                </c:pt>
                <c:pt idx="22">
                  <c:v>112.84616841427791</c:v>
                </c:pt>
                <c:pt idx="23">
                  <c:v>114.36236890932446</c:v>
                </c:pt>
                <c:pt idx="24">
                  <c:v>122.83525898681131</c:v>
                </c:pt>
                <c:pt idx="25">
                  <c:v>123.95325316936005</c:v>
                </c:pt>
                <c:pt idx="26">
                  <c:v>121.75339483791809</c:v>
                </c:pt>
                <c:pt idx="27">
                  <c:v>124.00589966739793</c:v>
                </c:pt>
                <c:pt idx="28">
                  <c:v>131.37017225284697</c:v>
                </c:pt>
                <c:pt idx="29">
                  <c:v>128.04821188790831</c:v>
                </c:pt>
                <c:pt idx="30">
                  <c:v>124.06125093955555</c:v>
                </c:pt>
                <c:pt idx="31">
                  <c:v>128.12056089305887</c:v>
                </c:pt>
                <c:pt idx="32">
                  <c:v>130.52668449223728</c:v>
                </c:pt>
                <c:pt idx="33">
                  <c:v>134.7576081189911</c:v>
                </c:pt>
                <c:pt idx="34">
                  <c:v>138.98475844737547</c:v>
                </c:pt>
                <c:pt idx="35">
                  <c:v>138.05150811785779</c:v>
                </c:pt>
                <c:pt idx="36">
                  <c:v>138.20150153537679</c:v>
                </c:pt>
                <c:pt idx="37">
                  <c:v>142.74817414022243</c:v>
                </c:pt>
                <c:pt idx="38">
                  <c:v>167.1723725042124</c:v>
                </c:pt>
                <c:pt idx="39">
                  <c:v>166.72569891241511</c:v>
                </c:pt>
                <c:pt idx="40">
                  <c:v>170.50289594114409</c:v>
                </c:pt>
                <c:pt idx="41">
                  <c:v>163.44365022121542</c:v>
                </c:pt>
                <c:pt idx="42">
                  <c:v>144.69558297650883</c:v>
                </c:pt>
                <c:pt idx="43">
                  <c:v>143.04370356207207</c:v>
                </c:pt>
                <c:pt idx="44">
                  <c:v>145.34256159766957</c:v>
                </c:pt>
                <c:pt idx="45">
                  <c:v>149.63321614291354</c:v>
                </c:pt>
                <c:pt idx="46">
                  <c:v>147.49795083868722</c:v>
                </c:pt>
                <c:pt idx="47">
                  <c:v>144.69298147846806</c:v>
                </c:pt>
                <c:pt idx="48">
                  <c:v>144.92698641546843</c:v>
                </c:pt>
                <c:pt idx="49">
                  <c:v>144.16416316386986</c:v>
                </c:pt>
                <c:pt idx="50">
                  <c:v>136.14462283416228</c:v>
                </c:pt>
                <c:pt idx="51">
                  <c:v>133.77294032195991</c:v>
                </c:pt>
                <c:pt idx="52">
                  <c:v>127.39796778993241</c:v>
                </c:pt>
                <c:pt idx="53">
                  <c:v>124.39818735135667</c:v>
                </c:pt>
              </c:numCache>
            </c:numRef>
          </c:val>
          <c:smooth val="0"/>
          <c:extLst>
            <c:ext xmlns:c16="http://schemas.microsoft.com/office/drawing/2014/chart" uri="{C3380CC4-5D6E-409C-BE32-E72D297353CC}">
              <c16:uniqueId val="{00000003-3311-46FD-BE1D-4E0A4153C65E}"/>
            </c:ext>
          </c:extLst>
        </c:ser>
        <c:ser>
          <c:idx val="4"/>
          <c:order val="4"/>
          <c:tx>
            <c:strRef>
              <c:f>Sheet1!$F$1</c:f>
              <c:strCache>
                <c:ptCount val="1"/>
                <c:pt idx="0">
                  <c:v>Բուսական յուղեր</c:v>
                </c:pt>
              </c:strCache>
            </c:strRef>
          </c:tx>
          <c:spPr>
            <a:ln w="12694" cap="rnd">
              <a:solidFill>
                <a:schemeClr val="accent5"/>
              </a:solidFill>
              <a:round/>
            </a:ln>
            <a:effectLst/>
          </c:spPr>
          <c:marker>
            <c:symbol val="none"/>
          </c:marker>
          <c:cat>
            <c:strRef>
              <c:f>Sheet1!$A$2:$A$55</c:f>
              <c:strCache>
                <c:ptCount val="54"/>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2023 - 4</c:v>
                </c:pt>
                <c:pt idx="52">
                  <c:v>2023 - 5</c:v>
                </c:pt>
                <c:pt idx="53">
                  <c:v>2023 - 6</c:v>
                </c:pt>
              </c:strCache>
            </c:strRef>
          </c:cat>
          <c:val>
            <c:numRef>
              <c:f>Sheet1!$F$2:$F$55</c:f>
              <c:numCache>
                <c:formatCode>0.0</c:formatCode>
                <c:ptCount val="54"/>
                <c:pt idx="0">
                  <c:v>100</c:v>
                </c:pt>
                <c:pt idx="1">
                  <c:v>101.90158761245678</c:v>
                </c:pt>
                <c:pt idx="2">
                  <c:v>97.702481638652813</c:v>
                </c:pt>
                <c:pt idx="3">
                  <c:v>98.572245351657685</c:v>
                </c:pt>
                <c:pt idx="4">
                  <c:v>97.811420319519797</c:v>
                </c:pt>
                <c:pt idx="5">
                  <c:v>96.516098791435752</c:v>
                </c:pt>
                <c:pt idx="6">
                  <c:v>97.299143182493083</c:v>
                </c:pt>
                <c:pt idx="7">
                  <c:v>102.90490450098041</c:v>
                </c:pt>
                <c:pt idx="8">
                  <c:v>104.52331034940649</c:v>
                </c:pt>
                <c:pt idx="9">
                  <c:v>104.79856180734109</c:v>
                </c:pt>
                <c:pt idx="10">
                  <c:v>116.0803304223341</c:v>
                </c:pt>
                <c:pt idx="11">
                  <c:v>126.46549525320391</c:v>
                </c:pt>
                <c:pt idx="12">
                  <c:v>135.47876006027283</c:v>
                </c:pt>
                <c:pt idx="13">
                  <c:v>121.54970216207607</c:v>
                </c:pt>
                <c:pt idx="14">
                  <c:v>106.43780089071068</c:v>
                </c:pt>
                <c:pt idx="15">
                  <c:v>101.14577420980156</c:v>
                </c:pt>
                <c:pt idx="16">
                  <c:v>96.898600570707501</c:v>
                </c:pt>
                <c:pt idx="17">
                  <c:v>107.91904549425286</c:v>
                </c:pt>
                <c:pt idx="18">
                  <c:v>116.1260300308309</c:v>
                </c:pt>
                <c:pt idx="19">
                  <c:v>122.98069204901711</c:v>
                </c:pt>
                <c:pt idx="20">
                  <c:v>130.32515106440414</c:v>
                </c:pt>
                <c:pt idx="21">
                  <c:v>132.63508261724903</c:v>
                </c:pt>
                <c:pt idx="22">
                  <c:v>151.88949268183791</c:v>
                </c:pt>
                <c:pt idx="23">
                  <c:v>163.47201641400815</c:v>
                </c:pt>
                <c:pt idx="24">
                  <c:v>173.03516139386724</c:v>
                </c:pt>
                <c:pt idx="25">
                  <c:v>183.73558324521639</c:v>
                </c:pt>
                <c:pt idx="26">
                  <c:v>198.48742240136227</c:v>
                </c:pt>
                <c:pt idx="27">
                  <c:v>202.08746281888722</c:v>
                </c:pt>
                <c:pt idx="28">
                  <c:v>217.89223210508541</c:v>
                </c:pt>
                <c:pt idx="29">
                  <c:v>196.46708388723403</c:v>
                </c:pt>
                <c:pt idx="30">
                  <c:v>193.74461309045728</c:v>
                </c:pt>
                <c:pt idx="31">
                  <c:v>206.66142036391179</c:v>
                </c:pt>
                <c:pt idx="32">
                  <c:v>210.03624559668773</c:v>
                </c:pt>
                <c:pt idx="33">
                  <c:v>230.30414407291863</c:v>
                </c:pt>
                <c:pt idx="34">
                  <c:v>229.95241258820283</c:v>
                </c:pt>
                <c:pt idx="35">
                  <c:v>222.41455002447412</c:v>
                </c:pt>
                <c:pt idx="36">
                  <c:v>231.66721156204446</c:v>
                </c:pt>
                <c:pt idx="37">
                  <c:v>251.3365728438678</c:v>
                </c:pt>
                <c:pt idx="38">
                  <c:v>313.77720677985673</c:v>
                </c:pt>
                <c:pt idx="39">
                  <c:v>295.96024430789657</c:v>
                </c:pt>
                <c:pt idx="40">
                  <c:v>285.63001933404212</c:v>
                </c:pt>
                <c:pt idx="41">
                  <c:v>263.89296419451284</c:v>
                </c:pt>
                <c:pt idx="42">
                  <c:v>210.34719343638744</c:v>
                </c:pt>
                <c:pt idx="43">
                  <c:v>203.49817760835785</c:v>
                </c:pt>
                <c:pt idx="44">
                  <c:v>190.1029284524889</c:v>
                </c:pt>
                <c:pt idx="45">
                  <c:v>188.49833853760259</c:v>
                </c:pt>
                <c:pt idx="46">
                  <c:v>192.76226734476404</c:v>
                </c:pt>
                <c:pt idx="47">
                  <c:v>180.16935522996457</c:v>
                </c:pt>
                <c:pt idx="48">
                  <c:v>174.95068241007854</c:v>
                </c:pt>
                <c:pt idx="49">
                  <c:v>169.29049786435638</c:v>
                </c:pt>
                <c:pt idx="50">
                  <c:v>164.20379142631597</c:v>
                </c:pt>
                <c:pt idx="51">
                  <c:v>162.01505722191894</c:v>
                </c:pt>
                <c:pt idx="52">
                  <c:v>147.87614701606566</c:v>
                </c:pt>
                <c:pt idx="53">
                  <c:v>144.28470420410045</c:v>
                </c:pt>
              </c:numCache>
            </c:numRef>
          </c:val>
          <c:smooth val="0"/>
          <c:extLst>
            <c:ext xmlns:c16="http://schemas.microsoft.com/office/drawing/2014/chart" uri="{C3380CC4-5D6E-409C-BE32-E72D297353CC}">
              <c16:uniqueId val="{00000004-3311-46FD-BE1D-4E0A4153C65E}"/>
            </c:ext>
          </c:extLst>
        </c:ser>
        <c:ser>
          <c:idx val="5"/>
          <c:order val="5"/>
          <c:tx>
            <c:strRef>
              <c:f>Sheet1!$G$1</c:f>
              <c:strCache>
                <c:ptCount val="1"/>
                <c:pt idx="0">
                  <c:v>Շաքարավազ</c:v>
                </c:pt>
              </c:strCache>
            </c:strRef>
          </c:tx>
          <c:spPr>
            <a:ln w="12694" cap="rnd">
              <a:solidFill>
                <a:srgbClr val="4F81BD"/>
              </a:solidFill>
              <a:round/>
            </a:ln>
            <a:effectLst/>
          </c:spPr>
          <c:marker>
            <c:symbol val="none"/>
          </c:marker>
          <c:cat>
            <c:strRef>
              <c:f>Sheet1!$A$2:$A$55</c:f>
              <c:strCache>
                <c:ptCount val="54"/>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2023 - 4</c:v>
                </c:pt>
                <c:pt idx="52">
                  <c:v>2023 - 5</c:v>
                </c:pt>
                <c:pt idx="53">
                  <c:v>2023 - 6</c:v>
                </c:pt>
              </c:strCache>
            </c:strRef>
          </c:cat>
          <c:val>
            <c:numRef>
              <c:f>Sheet1!$G$2:$G$55</c:f>
              <c:numCache>
                <c:formatCode>0.0</c:formatCode>
                <c:ptCount val="54"/>
                <c:pt idx="0">
                  <c:v>100</c:v>
                </c:pt>
                <c:pt idx="1">
                  <c:v>101.21747145997304</c:v>
                </c:pt>
                <c:pt idx="2">
                  <c:v>99.142364171081468</c:v>
                </c:pt>
                <c:pt idx="3">
                  <c:v>99.89009430617601</c:v>
                </c:pt>
                <c:pt idx="4">
                  <c:v>96.713465220165901</c:v>
                </c:pt>
                <c:pt idx="5">
                  <c:v>100.75728568389701</c:v>
                </c:pt>
                <c:pt idx="6">
                  <c:v>100.10821009405953</c:v>
                </c:pt>
                <c:pt idx="7">
                  <c:v>96.075303126994257</c:v>
                </c:pt>
                <c:pt idx="8">
                  <c:v>92.649993415787918</c:v>
                </c:pt>
                <c:pt idx="9">
                  <c:v>98.019231184237697</c:v>
                </c:pt>
                <c:pt idx="10">
                  <c:v>99.807200764443877</c:v>
                </c:pt>
                <c:pt idx="11">
                  <c:v>104.60590958357389</c:v>
                </c:pt>
                <c:pt idx="12">
                  <c:v>110.33113521945684</c:v>
                </c:pt>
                <c:pt idx="13">
                  <c:v>115.25703750974969</c:v>
                </c:pt>
                <c:pt idx="14">
                  <c:v>93.195419414309001</c:v>
                </c:pt>
                <c:pt idx="15">
                  <c:v>79.628110196074459</c:v>
                </c:pt>
                <c:pt idx="16">
                  <c:v>85.508757002056271</c:v>
                </c:pt>
                <c:pt idx="17">
                  <c:v>94.451180599872359</c:v>
                </c:pt>
                <c:pt idx="18">
                  <c:v>95.801386692316456</c:v>
                </c:pt>
                <c:pt idx="19">
                  <c:v>102.20655517400888</c:v>
                </c:pt>
                <c:pt idx="20">
                  <c:v>99.517833085159154</c:v>
                </c:pt>
                <c:pt idx="21">
                  <c:v>106.76451818761964</c:v>
                </c:pt>
                <c:pt idx="22">
                  <c:v>110.31589023611994</c:v>
                </c:pt>
                <c:pt idx="23">
                  <c:v>109.82769623484363</c:v>
                </c:pt>
                <c:pt idx="24">
                  <c:v>118.67333191519532</c:v>
                </c:pt>
                <c:pt idx="25">
                  <c:v>126.25469758207471</c:v>
                </c:pt>
                <c:pt idx="26">
                  <c:v>121.24216555836099</c:v>
                </c:pt>
                <c:pt idx="27">
                  <c:v>126.0181048949396</c:v>
                </c:pt>
                <c:pt idx="28">
                  <c:v>134.60433950223356</c:v>
                </c:pt>
                <c:pt idx="29">
                  <c:v>135.77962135715802</c:v>
                </c:pt>
                <c:pt idx="30">
                  <c:v>138.07345954761399</c:v>
                </c:pt>
                <c:pt idx="31">
                  <c:v>151.92512231440114</c:v>
                </c:pt>
                <c:pt idx="32">
                  <c:v>152.74055165567609</c:v>
                </c:pt>
                <c:pt idx="33">
                  <c:v>150.0636473833666</c:v>
                </c:pt>
                <c:pt idx="34">
                  <c:v>151.47486350421894</c:v>
                </c:pt>
                <c:pt idx="35">
                  <c:v>146.74537332482456</c:v>
                </c:pt>
                <c:pt idx="36">
                  <c:v>142.00018233202667</c:v>
                </c:pt>
                <c:pt idx="37">
                  <c:v>139.30759412890876</c:v>
                </c:pt>
                <c:pt idx="38">
                  <c:v>148.61253695636762</c:v>
                </c:pt>
                <c:pt idx="39">
                  <c:v>153.18726512089628</c:v>
                </c:pt>
                <c:pt idx="40">
                  <c:v>151.7301283414877</c:v>
                </c:pt>
                <c:pt idx="41">
                  <c:v>147.81961284833019</c:v>
                </c:pt>
                <c:pt idx="42">
                  <c:v>142.21931841587241</c:v>
                </c:pt>
                <c:pt idx="43">
                  <c:v>139.23587025887187</c:v>
                </c:pt>
                <c:pt idx="44">
                  <c:v>138.22945472594489</c:v>
                </c:pt>
                <c:pt idx="45">
                  <c:v>136.84862727619594</c:v>
                </c:pt>
                <c:pt idx="46">
                  <c:v>144.17499822732759</c:v>
                </c:pt>
                <c:pt idx="47">
                  <c:v>147.68286382836484</c:v>
                </c:pt>
                <c:pt idx="48">
                  <c:v>147.19259326789648</c:v>
                </c:pt>
                <c:pt idx="49">
                  <c:v>157.75792384599026</c:v>
                </c:pt>
                <c:pt idx="50">
                  <c:v>160.05783536651165</c:v>
                </c:pt>
                <c:pt idx="51">
                  <c:v>188.29439051788162</c:v>
                </c:pt>
                <c:pt idx="52">
                  <c:v>198.68859555824258</c:v>
                </c:pt>
                <c:pt idx="53">
                  <c:v>191.82483752694682</c:v>
                </c:pt>
              </c:numCache>
            </c:numRef>
          </c:val>
          <c:smooth val="0"/>
          <c:extLst>
            <c:ext xmlns:c16="http://schemas.microsoft.com/office/drawing/2014/chart" uri="{C3380CC4-5D6E-409C-BE32-E72D297353CC}">
              <c16:uniqueId val="{00000005-3311-46FD-BE1D-4E0A4153C65E}"/>
            </c:ext>
          </c:extLst>
        </c:ser>
        <c:dLbls>
          <c:showLegendKey val="0"/>
          <c:showVal val="0"/>
          <c:showCatName val="0"/>
          <c:showSerName val="0"/>
          <c:showPercent val="0"/>
          <c:showBubbleSize val="0"/>
        </c:dLbls>
        <c:smooth val="0"/>
        <c:axId val="-1138600992"/>
        <c:axId val="-1138604800"/>
      </c:lineChart>
      <c:catAx>
        <c:axId val="-1138600992"/>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604800"/>
        <c:crosses val="autoZero"/>
        <c:auto val="1"/>
        <c:lblAlgn val="ctr"/>
        <c:lblOffset val="100"/>
        <c:noMultiLvlLbl val="1"/>
      </c:catAx>
      <c:valAx>
        <c:axId val="-1138604800"/>
        <c:scaling>
          <c:orientation val="minMax"/>
          <c:max val="300"/>
          <c:min val="50"/>
        </c:scaling>
        <c:delete val="0"/>
        <c:axPos val="l"/>
        <c:majorGridlines>
          <c:spPr>
            <a:ln w="9521"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n-US" sz="1000" b="0" i="0" u="none" strike="noStrike" baseline="0">
                    <a:solidFill>
                      <a:srgbClr val="333333"/>
                    </a:solidFill>
                    <a:latin typeface="GHEA Grapalat"/>
                  </a:rPr>
                  <a:t>Ինդեքս, 2018 հունվար =100</a:t>
                </a:r>
              </a:p>
            </c:rich>
          </c:tx>
          <c:layout/>
          <c:overlay val="0"/>
          <c:spPr>
            <a:noFill/>
            <a:ln w="25389">
              <a:noFill/>
            </a:ln>
          </c:spPr>
        </c:title>
        <c:numFmt formatCode="0.0"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600992"/>
        <c:crosses val="autoZero"/>
        <c:crossBetween val="between"/>
      </c:valAx>
      <c:spPr>
        <a:noFill/>
        <a:ln w="25389">
          <a:noFill/>
        </a:ln>
      </c:spPr>
    </c:plotArea>
    <c:legend>
      <c:legendPos val="t"/>
      <c:layout>
        <c:manualLayout>
          <c:xMode val="edge"/>
          <c:yMode val="edge"/>
          <c:x val="0"/>
          <c:y val="0.8443943427934818"/>
          <c:w val="0.95546841815071404"/>
          <c:h val="0.14338714854887744"/>
        </c:manualLayout>
      </c:layout>
      <c:overlay val="0"/>
      <c:spPr>
        <a:noFill/>
        <a:ln w="25389">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ysClr val="window" lastClr="FFFFFF">
          <a:lumMod val="85000"/>
        </a:sys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1.4000000000000057</c:v>
                </c:pt>
                <c:pt idx="1">
                  <c:v>1</c:v>
                </c:pt>
                <c:pt idx="2">
                  <c:v>3.5999999999999943</c:v>
                </c:pt>
                <c:pt idx="3">
                  <c:v>2.4000000000000057</c:v>
                </c:pt>
                <c:pt idx="4">
                  <c:v>3</c:v>
                </c:pt>
                <c:pt idx="5">
                  <c:v>1</c:v>
                </c:pt>
              </c:numCache>
            </c:numRef>
          </c:val>
          <c:extLst>
            <c:ext xmlns:c16="http://schemas.microsoft.com/office/drawing/2014/chart" uri="{C3380CC4-5D6E-409C-BE32-E72D297353CC}">
              <c16:uniqueId val="{00000000-FC24-42FE-A430-36821716D478}"/>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General</c:formatCode>
                <c:ptCount val="6"/>
                <c:pt idx="2" formatCode="0.0">
                  <c:v>1.4000000000000057</c:v>
                </c:pt>
                <c:pt idx="5" formatCode="0.0">
                  <c:v>2</c:v>
                </c:pt>
              </c:numCache>
            </c:numRef>
          </c:val>
          <c:extLst>
            <c:ext xmlns:c16="http://schemas.microsoft.com/office/drawing/2014/chart" uri="{C3380CC4-5D6E-409C-BE32-E72D297353CC}">
              <c16:uniqueId val="{00000001-FC24-42FE-A430-36821716D478}"/>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12.200000000000003</c:v>
                </c:pt>
                <c:pt idx="1">
                  <c:v>13.900000000000006</c:v>
                </c:pt>
                <c:pt idx="2">
                  <c:v>16.599999999999994</c:v>
                </c:pt>
                <c:pt idx="3">
                  <c:v>19.299999999999997</c:v>
                </c:pt>
                <c:pt idx="4">
                  <c:v>16.700000000000003</c:v>
                </c:pt>
                <c:pt idx="5">
                  <c:v>17</c:v>
                </c:pt>
              </c:numCache>
            </c:numRef>
          </c:val>
          <c:extLst>
            <c:ext xmlns:c16="http://schemas.microsoft.com/office/drawing/2014/chart" uri="{C3380CC4-5D6E-409C-BE32-E72D297353CC}">
              <c16:uniqueId val="{00000002-FC24-42FE-A430-36821716D478}"/>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25.900000000000006</c:v>
                </c:pt>
                <c:pt idx="1">
                  <c:v>23.5</c:v>
                </c:pt>
                <c:pt idx="2">
                  <c:v>22.900000000000006</c:v>
                </c:pt>
                <c:pt idx="3">
                  <c:v>22.200000000000003</c:v>
                </c:pt>
                <c:pt idx="4">
                  <c:v>19.900000000000006</c:v>
                </c:pt>
                <c:pt idx="5">
                  <c:v>16.799999999999997</c:v>
                </c:pt>
              </c:numCache>
            </c:numRef>
          </c:val>
          <c:extLst>
            <c:ext xmlns:c16="http://schemas.microsoft.com/office/drawing/2014/chart" uri="{C3380CC4-5D6E-409C-BE32-E72D297353CC}">
              <c16:uniqueId val="{00000003-FC24-42FE-A430-36821716D478}"/>
            </c:ext>
          </c:extLst>
        </c:ser>
        <c:ser>
          <c:idx val="5"/>
          <c:order val="5"/>
          <c:tx>
            <c:strRef>
              <c:f>Sheet1!$A$7</c:f>
              <c:strCache>
                <c:ptCount val="1"/>
                <c:pt idx="0">
                  <c:v>առևտուր</c:v>
                </c:pt>
              </c:strCache>
            </c:strRef>
          </c:tx>
          <c:spPr>
            <a:solidFill>
              <a:srgbClr val="F7964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17.700000000000003</c:v>
                </c:pt>
                <c:pt idx="1">
                  <c:v>18</c:v>
                </c:pt>
                <c:pt idx="2">
                  <c:v>21</c:v>
                </c:pt>
                <c:pt idx="3">
                  <c:v>23.200000000000003</c:v>
                </c:pt>
                <c:pt idx="4">
                  <c:v>24.5</c:v>
                </c:pt>
                <c:pt idx="5">
                  <c:v>23.599999999999994</c:v>
                </c:pt>
              </c:numCache>
            </c:numRef>
          </c:val>
          <c:extLst>
            <c:ext xmlns:c16="http://schemas.microsoft.com/office/drawing/2014/chart" uri="{C3380CC4-5D6E-409C-BE32-E72D297353CC}">
              <c16:uniqueId val="{00000004-FC24-42FE-A430-36821716D478}"/>
            </c:ext>
          </c:extLst>
        </c:ser>
        <c:dLbls>
          <c:showLegendKey val="0"/>
          <c:showVal val="0"/>
          <c:showCatName val="0"/>
          <c:showSerName val="0"/>
          <c:showPercent val="0"/>
          <c:showBubbleSize val="0"/>
        </c:dLbls>
        <c:gapWidth val="150"/>
        <c:axId val="186112256"/>
        <c:axId val="186118144"/>
      </c:barChart>
      <c:lineChart>
        <c:grouping val="standard"/>
        <c:varyColors val="0"/>
        <c:ser>
          <c:idx val="0"/>
          <c:order val="0"/>
          <c:tx>
            <c:strRef>
              <c:f>Sheet1!$A$2</c:f>
              <c:strCache>
                <c:ptCount val="1"/>
                <c:pt idx="0">
                  <c:v>ՏԱՑ, աջ առանցք</c:v>
                </c:pt>
              </c:strCache>
            </c:strRef>
          </c:tx>
          <c:spPr>
            <a:effectLst/>
          </c:spPr>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11.082558667182113</c:v>
                </c:pt>
                <c:pt idx="1">
                  <c:v>11.208028012080391</c:v>
                </c:pt>
                <c:pt idx="2">
                  <c:v>12.204814563542612</c:v>
                </c:pt>
                <c:pt idx="3">
                  <c:v>12.230835530153186</c:v>
                </c:pt>
                <c:pt idx="4">
                  <c:v>12.538770552084586</c:v>
                </c:pt>
                <c:pt idx="5">
                  <c:v>11.400000000000006</c:v>
                </c:pt>
              </c:numCache>
            </c:numRef>
          </c:val>
          <c:smooth val="0"/>
          <c:extLst>
            <c:ext xmlns:c16="http://schemas.microsoft.com/office/drawing/2014/chart" uri="{C3380CC4-5D6E-409C-BE32-E72D297353CC}">
              <c16:uniqueId val="{00000005-FC24-42FE-A430-36821716D478}"/>
            </c:ext>
          </c:extLst>
        </c:ser>
        <c:dLbls>
          <c:showLegendKey val="0"/>
          <c:showVal val="0"/>
          <c:showCatName val="0"/>
          <c:showSerName val="0"/>
          <c:showPercent val="0"/>
          <c:showBubbleSize val="0"/>
        </c:dLbls>
        <c:marker val="1"/>
        <c:smooth val="0"/>
        <c:axId val="186121216"/>
        <c:axId val="186119680"/>
      </c:lineChart>
      <c:catAx>
        <c:axId val="1861122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8144"/>
        <c:crosses val="autoZero"/>
        <c:auto val="1"/>
        <c:lblAlgn val="ctr"/>
        <c:lblOffset val="100"/>
        <c:noMultiLvlLbl val="0"/>
      </c:catAx>
      <c:valAx>
        <c:axId val="186118144"/>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2256"/>
        <c:crosses val="autoZero"/>
        <c:crossBetween val="between"/>
        <c:majorUnit val="5"/>
      </c:valAx>
      <c:valAx>
        <c:axId val="186119680"/>
        <c:scaling>
          <c:orientation val="minMax"/>
          <c:max val="16"/>
          <c:min val="0"/>
        </c:scaling>
        <c:delete val="0"/>
        <c:axPos val="r"/>
        <c:numFmt formatCode="0.0" sourceLinked="1"/>
        <c:majorTickMark val="out"/>
        <c:minorTickMark val="none"/>
        <c:tickLblPos val="nextTo"/>
        <c:crossAx val="186121216"/>
        <c:crosses val="max"/>
        <c:crossBetween val="between"/>
      </c:valAx>
      <c:catAx>
        <c:axId val="186121216"/>
        <c:scaling>
          <c:orientation val="minMax"/>
        </c:scaling>
        <c:delete val="1"/>
        <c:axPos val="b"/>
        <c:numFmt formatCode="General" sourceLinked="1"/>
        <c:majorTickMark val="out"/>
        <c:minorTickMark val="none"/>
        <c:tickLblPos val="nextTo"/>
        <c:crossAx val="18611968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07172761713944"/>
          <c:h val="0.1793568297122914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1.4000000000000057</c:v>
                </c:pt>
                <c:pt idx="1">
                  <c:v>0.70000000000000284</c:v>
                </c:pt>
                <c:pt idx="2">
                  <c:v>8.5999999999999943</c:v>
                </c:pt>
                <c:pt idx="3">
                  <c:v>-0.79999999999999716</c:v>
                </c:pt>
                <c:pt idx="4">
                  <c:v>5.2999999999999972</c:v>
                </c:pt>
                <c:pt idx="5">
                  <c:v>-7.4000000000000057</c:v>
                </c:pt>
              </c:numCache>
            </c:numRef>
          </c:val>
          <c:extLst>
            <c:ext xmlns:c16="http://schemas.microsoft.com/office/drawing/2014/chart" uri="{C3380CC4-5D6E-409C-BE32-E72D297353CC}">
              <c16:uniqueId val="{00000000-05F3-4D6C-8A6D-40139D613974}"/>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12.200000000000003</c:v>
                </c:pt>
                <c:pt idx="1">
                  <c:v>13.900000000000006</c:v>
                </c:pt>
                <c:pt idx="2">
                  <c:v>16.599999999999994</c:v>
                </c:pt>
                <c:pt idx="3">
                  <c:v>19.299999999999997</c:v>
                </c:pt>
                <c:pt idx="4">
                  <c:v>18.400000000000006</c:v>
                </c:pt>
                <c:pt idx="5">
                  <c:v>18.099999999999994</c:v>
                </c:pt>
              </c:numCache>
            </c:numRef>
          </c:val>
          <c:extLst>
            <c:ext xmlns:c16="http://schemas.microsoft.com/office/drawing/2014/chart" uri="{C3380CC4-5D6E-409C-BE32-E72D297353CC}">
              <c16:uniqueId val="{00000001-05F3-4D6C-8A6D-40139D613974}"/>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25.900000000000006</c:v>
                </c:pt>
                <c:pt idx="1">
                  <c:v>21.200000000000003</c:v>
                </c:pt>
                <c:pt idx="2">
                  <c:v>21.900000000000006</c:v>
                </c:pt>
                <c:pt idx="3">
                  <c:v>20.400000000000006</c:v>
                </c:pt>
                <c:pt idx="4">
                  <c:v>12.299999999999997</c:v>
                </c:pt>
                <c:pt idx="5">
                  <c:v>4</c:v>
                </c:pt>
              </c:numCache>
            </c:numRef>
          </c:val>
          <c:extLst>
            <c:ext xmlns:c16="http://schemas.microsoft.com/office/drawing/2014/chart" uri="{C3380CC4-5D6E-409C-BE32-E72D297353CC}">
              <c16:uniqueId val="{00000002-05F3-4D6C-8A6D-40139D613974}"/>
            </c:ext>
          </c:extLst>
        </c:ser>
        <c:ser>
          <c:idx val="4"/>
          <c:order val="4"/>
          <c:tx>
            <c:strRef>
              <c:f>Sheet1!$A$6</c:f>
              <c:strCache>
                <c:ptCount val="1"/>
                <c:pt idx="0">
                  <c:v>առևտուր</c:v>
                </c:pt>
              </c:strCache>
            </c:strRef>
          </c:tx>
          <c:spPr>
            <a:solidFill>
              <a:srgbClr val="F79646">
                <a:lumMod val="75000"/>
              </a:srgbClr>
            </a:solidFill>
          </c:spPr>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17.700000000000003</c:v>
                </c:pt>
                <c:pt idx="1">
                  <c:v>18.200000000000003</c:v>
                </c:pt>
                <c:pt idx="2">
                  <c:v>26.099999999999994</c:v>
                </c:pt>
                <c:pt idx="3">
                  <c:v>28.900000000000006</c:v>
                </c:pt>
                <c:pt idx="4">
                  <c:v>28.599999999999994</c:v>
                </c:pt>
                <c:pt idx="5">
                  <c:v>20.299999999999997</c:v>
                </c:pt>
              </c:numCache>
            </c:numRef>
          </c:val>
          <c:extLst>
            <c:ext xmlns:c16="http://schemas.microsoft.com/office/drawing/2014/chart" uri="{C3380CC4-5D6E-409C-BE32-E72D297353CC}">
              <c16:uniqueId val="{00000003-05F3-4D6C-8A6D-40139D613974}"/>
            </c:ext>
          </c:extLst>
        </c:ser>
        <c:dLbls>
          <c:showLegendKey val="0"/>
          <c:showVal val="0"/>
          <c:showCatName val="0"/>
          <c:showSerName val="0"/>
          <c:showPercent val="0"/>
          <c:showBubbleSize val="0"/>
        </c:dLbls>
        <c:gapWidth val="219"/>
        <c:overlap val="-27"/>
        <c:axId val="187651968"/>
        <c:axId val="187653504"/>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67E-2"/>
                  <c:y val="-4.383202099737532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5F3-4D6C-8A6D-40139D613974}"/>
                </c:ext>
              </c:extLst>
            </c:dLbl>
            <c:dLbl>
              <c:idx val="1"/>
              <c:layout>
                <c:manualLayout>
                  <c:x val="-8.7174309223539623E-2"/>
                  <c:y val="-4.37798536052558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5F3-4D6C-8A6D-40139D613974}"/>
                </c:ext>
              </c:extLst>
            </c:dLbl>
            <c:dLbl>
              <c:idx val="2"/>
              <c:layout>
                <c:manualLayout>
                  <c:x val="-7.8606082375082556E-2"/>
                  <c:y val="-4.567744249360134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5F3-4D6C-8A6D-40139D613974}"/>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5F3-4D6C-8A6D-40139D613974}"/>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05F3-4D6C-8A6D-40139D613974}"/>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5F3-4D6C-8A6D-40139D613974}"/>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F3-4D6C-8A6D-40139D613974}"/>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5F3-4D6C-8A6D-40139D613974}"/>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5F3-4D6C-8A6D-40139D613974}"/>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5F3-4D6C-8A6D-40139D61397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11.082558667182113</c:v>
                </c:pt>
                <c:pt idx="1">
                  <c:v>11.326720183465838</c:v>
                </c:pt>
                <c:pt idx="2">
                  <c:v>13.995446267327168</c:v>
                </c:pt>
                <c:pt idx="3">
                  <c:v>12.299999999999997</c:v>
                </c:pt>
                <c:pt idx="4">
                  <c:v>13.599999999999994</c:v>
                </c:pt>
                <c:pt idx="5">
                  <c:v>6.7999999999999972</c:v>
                </c:pt>
              </c:numCache>
            </c:numRef>
          </c:val>
          <c:smooth val="0"/>
          <c:extLst>
            <c:ext xmlns:c16="http://schemas.microsoft.com/office/drawing/2014/chart" uri="{C3380CC4-5D6E-409C-BE32-E72D297353CC}">
              <c16:uniqueId val="{0000000E-05F3-4D6C-8A6D-40139D613974}"/>
            </c:ext>
          </c:extLst>
        </c:ser>
        <c:dLbls>
          <c:showLegendKey val="0"/>
          <c:showVal val="0"/>
          <c:showCatName val="0"/>
          <c:showSerName val="0"/>
          <c:showPercent val="0"/>
          <c:showBubbleSize val="0"/>
        </c:dLbls>
        <c:marker val="1"/>
        <c:smooth val="0"/>
        <c:axId val="187677312"/>
        <c:axId val="187675776"/>
      </c:lineChart>
      <c:catAx>
        <c:axId val="187651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3504"/>
        <c:crosses val="autoZero"/>
        <c:auto val="1"/>
        <c:lblAlgn val="ctr"/>
        <c:lblOffset val="100"/>
        <c:noMultiLvlLbl val="0"/>
      </c:catAx>
      <c:valAx>
        <c:axId val="187653504"/>
        <c:scaling>
          <c:orientation val="minMax"/>
          <c:max val="37"/>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1968"/>
        <c:crosses val="autoZero"/>
        <c:crossBetween val="between"/>
        <c:majorUnit val="8"/>
      </c:valAx>
      <c:valAx>
        <c:axId val="187675776"/>
        <c:scaling>
          <c:orientation val="minMax"/>
          <c:max val="22"/>
        </c:scaling>
        <c:delete val="0"/>
        <c:axPos val="r"/>
        <c:numFmt formatCode="0.0" sourceLinked="1"/>
        <c:majorTickMark val="out"/>
        <c:minorTickMark val="none"/>
        <c:tickLblPos val="nextTo"/>
        <c:crossAx val="187677312"/>
        <c:crosses val="max"/>
        <c:crossBetween val="between"/>
        <c:majorUnit val="4"/>
      </c:valAx>
      <c:catAx>
        <c:axId val="187677312"/>
        <c:scaling>
          <c:orientation val="minMax"/>
        </c:scaling>
        <c:delete val="1"/>
        <c:axPos val="b"/>
        <c:numFmt formatCode="General" sourceLinked="1"/>
        <c:majorTickMark val="out"/>
        <c:minorTickMark val="none"/>
        <c:tickLblPos val="nextTo"/>
        <c:crossAx val="187675776"/>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499110304083E-2"/>
          <c:y val="0.8220706107388751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0.28361096295453792</c:v>
                </c:pt>
                <c:pt idx="1">
                  <c:v>0.20257925925324055</c:v>
                </c:pt>
                <c:pt idx="2">
                  <c:v>0.72928533331166479</c:v>
                </c:pt>
                <c:pt idx="3">
                  <c:v>0.48619022220777847</c:v>
                </c:pt>
                <c:pt idx="4">
                  <c:v>0.60773777775972171</c:v>
                </c:pt>
                <c:pt idx="5">
                  <c:v>0.20257925925324055</c:v>
                </c:pt>
              </c:numCache>
            </c:numRef>
          </c:val>
          <c:extLst>
            <c:ext xmlns:c16="http://schemas.microsoft.com/office/drawing/2014/chart" uri="{C3380CC4-5D6E-409C-BE32-E72D297353CC}">
              <c16:uniqueId val="{00000000-B157-402D-916B-C2F87CDDB58F}"/>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0.0</c:formatCode>
                <c:ptCount val="6"/>
                <c:pt idx="0">
                  <c:v>0</c:v>
                </c:pt>
                <c:pt idx="1">
                  <c:v>0</c:v>
                </c:pt>
                <c:pt idx="2">
                  <c:v>0.15923032869221235</c:v>
                </c:pt>
                <c:pt idx="3">
                  <c:v>0</c:v>
                </c:pt>
                <c:pt idx="4">
                  <c:v>0</c:v>
                </c:pt>
                <c:pt idx="5">
                  <c:v>0.22747189813173102</c:v>
                </c:pt>
              </c:numCache>
            </c:numRef>
          </c:val>
          <c:extLst>
            <c:ext xmlns:c16="http://schemas.microsoft.com/office/drawing/2014/chart" uri="{C3380CC4-5D6E-409C-BE32-E72D297353CC}">
              <c16:uniqueId val="{00000001-B157-402D-916B-C2F87CDDB58F}"/>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0.91037338358597975</c:v>
                </c:pt>
                <c:pt idx="1">
                  <c:v>1.0372286911348458</c:v>
                </c:pt>
                <c:pt idx="2">
                  <c:v>1.2387047678301029</c:v>
                </c:pt>
                <c:pt idx="3">
                  <c:v>1.4401808445253608</c:v>
                </c:pt>
                <c:pt idx="4">
                  <c:v>1.2461668447447427</c:v>
                </c:pt>
                <c:pt idx="5">
                  <c:v>1.26855307548866</c:v>
                </c:pt>
              </c:numCache>
            </c:numRef>
          </c:val>
          <c:extLst>
            <c:ext xmlns:c16="http://schemas.microsoft.com/office/drawing/2014/chart" uri="{C3380CC4-5D6E-409C-BE32-E72D297353CC}">
              <c16:uniqueId val="{00000002-B157-402D-916B-C2F87CDDB58F}"/>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7.7192168952389961</c:v>
                </c:pt>
                <c:pt idx="1">
                  <c:v>7.0305562982973679</c:v>
                </c:pt>
                <c:pt idx="2">
                  <c:v>6.7769568565457767</c:v>
                </c:pt>
                <c:pt idx="3">
                  <c:v>6.7265338012950213</c:v>
                </c:pt>
                <c:pt idx="4">
                  <c:v>6.2718279788346427</c:v>
                </c:pt>
                <c:pt idx="5">
                  <c:v>5.5151917638749852</c:v>
                </c:pt>
              </c:numCache>
            </c:numRef>
          </c:val>
          <c:extLst>
            <c:ext xmlns:c16="http://schemas.microsoft.com/office/drawing/2014/chart" uri="{C3380CC4-5D6E-409C-BE32-E72D297353CC}">
              <c16:uniqueId val="{00000003-B157-402D-916B-C2F87CDDB58F}"/>
            </c:ext>
          </c:extLst>
        </c:ser>
        <c:ser>
          <c:idx val="5"/>
          <c:order val="5"/>
          <c:tx>
            <c:strRef>
              <c:f>Sheet1!$A$7</c:f>
              <c:strCache>
                <c:ptCount val="1"/>
                <c:pt idx="0">
                  <c:v>առևտուր</c:v>
                </c:pt>
              </c:strCache>
            </c:strRef>
          </c:tx>
          <c:spPr>
            <a:solidFill>
              <a:srgbClr val="F7964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2.2494476716460814</c:v>
                </c:pt>
                <c:pt idx="1">
                  <c:v>2.2875739033688958</c:v>
                </c:pt>
                <c:pt idx="2">
                  <c:v>2.6688362205970453</c:v>
                </c:pt>
                <c:pt idx="3">
                  <c:v>2.9484285865643551</c:v>
                </c:pt>
                <c:pt idx="4">
                  <c:v>3.1136422573632196</c:v>
                </c:pt>
                <c:pt idx="5">
                  <c:v>2.9992635621947739</c:v>
                </c:pt>
              </c:numCache>
            </c:numRef>
          </c:val>
          <c:extLst>
            <c:ext xmlns:c16="http://schemas.microsoft.com/office/drawing/2014/chart" uri="{C3380CC4-5D6E-409C-BE32-E72D297353CC}">
              <c16:uniqueId val="{00000004-B157-402D-916B-C2F87CDDB58F}"/>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Sheet1!$B$1:$G$1</c:f>
              <c:strCache>
                <c:ptCount val="6"/>
                <c:pt idx="0">
                  <c:v>I</c:v>
                </c:pt>
                <c:pt idx="1">
                  <c:v>I-II</c:v>
                </c:pt>
                <c:pt idx="2">
                  <c:v>I-III</c:v>
                </c:pt>
                <c:pt idx="3">
                  <c:v>I-IV</c:v>
                </c:pt>
                <c:pt idx="4">
                  <c:v>I-V</c:v>
                </c:pt>
                <c:pt idx="5">
                  <c:v>I-VI</c:v>
                </c:pt>
              </c:strCache>
            </c:strRef>
          </c:cat>
          <c:val>
            <c:numRef>
              <c:f>Sheet1!$B$8:$G$8</c:f>
              <c:numCache>
                <c:formatCode>0.0</c:formatCode>
                <c:ptCount val="6"/>
                <c:pt idx="0">
                  <c:v>-8.0090246243482266E-2</c:v>
                </c:pt>
                <c:pt idx="1">
                  <c:v>0.65008986002603963</c:v>
                </c:pt>
                <c:pt idx="2">
                  <c:v>0.63180105656580898</c:v>
                </c:pt>
                <c:pt idx="3">
                  <c:v>0.62950207556067017</c:v>
                </c:pt>
                <c:pt idx="4">
                  <c:v>1.2993956933822592</c:v>
                </c:pt>
                <c:pt idx="5">
                  <c:v>1.1869404410566149</c:v>
                </c:pt>
              </c:numCache>
            </c:numRef>
          </c:val>
          <c:extLst>
            <c:ext xmlns:c16="http://schemas.microsoft.com/office/drawing/2014/chart" uri="{C3380CC4-5D6E-409C-BE32-E72D297353CC}">
              <c16:uniqueId val="{00000005-B157-402D-916B-C2F87CDDB58F}"/>
            </c:ext>
          </c:extLst>
        </c:ser>
        <c:dLbls>
          <c:showLegendKey val="0"/>
          <c:showVal val="0"/>
          <c:showCatName val="0"/>
          <c:showSerName val="0"/>
          <c:showPercent val="0"/>
          <c:showBubbleSize val="0"/>
        </c:dLbls>
        <c:gapWidth val="150"/>
        <c:overlap val="100"/>
        <c:axId val="187775616"/>
        <c:axId val="187781504"/>
      </c:barChart>
      <c:lineChart>
        <c:grouping val="standard"/>
        <c:varyColors val="0"/>
        <c:ser>
          <c:idx val="0"/>
          <c:order val="0"/>
          <c:tx>
            <c:strRef>
              <c:f>Sheet1!$A$2</c:f>
              <c:strCache>
                <c:ptCount val="1"/>
                <c:pt idx="0">
                  <c:v>ՏԱՑ</c:v>
                </c:pt>
              </c:strCache>
            </c:strRef>
          </c:tx>
          <c:spPr>
            <a:effectLst/>
          </c:spPr>
          <c:dLbls>
            <c:dLbl>
              <c:idx val="0"/>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6-B157-402D-916B-C2F87CDDB58F}"/>
                </c:ext>
              </c:extLst>
            </c:dLbl>
            <c:dLbl>
              <c:idx val="1"/>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7-B157-402D-916B-C2F87CDDB58F}"/>
                </c:ext>
              </c:extLst>
            </c:dLbl>
            <c:dLbl>
              <c:idx val="2"/>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8-B157-402D-916B-C2F87CDDB58F}"/>
                </c:ext>
              </c:extLst>
            </c:dLbl>
            <c:dLbl>
              <c:idx val="3"/>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9-B157-402D-916B-C2F87CDDB58F}"/>
                </c:ext>
              </c:extLst>
            </c:dLbl>
            <c:dLbl>
              <c:idx val="4"/>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A-B157-402D-916B-C2F87CDDB58F}"/>
                </c:ext>
              </c:extLst>
            </c:dLbl>
            <c:dLbl>
              <c:idx val="5"/>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B-B157-402D-916B-C2F87CDDB58F}"/>
                </c:ext>
              </c:extLst>
            </c:dLbl>
            <c:dLbl>
              <c:idx val="6"/>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C-B157-402D-916B-C2F87CDDB58F}"/>
                </c:ext>
              </c:extLst>
            </c:dLbl>
            <c:dLbl>
              <c:idx val="7"/>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D-B157-402D-916B-C2F87CDDB58F}"/>
                </c:ext>
              </c:extLst>
            </c:dLbl>
            <c:dLbl>
              <c:idx val="8"/>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E-B157-402D-916B-C2F87CDDB58F}"/>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11.082558667182113</c:v>
                </c:pt>
                <c:pt idx="1">
                  <c:v>11.208028012080391</c:v>
                </c:pt>
                <c:pt idx="2">
                  <c:v>12.204814563542612</c:v>
                </c:pt>
                <c:pt idx="3">
                  <c:v>12.230835530153186</c:v>
                </c:pt>
                <c:pt idx="4">
                  <c:v>12.538770552084586</c:v>
                </c:pt>
                <c:pt idx="5">
                  <c:v>11.400000000000006</c:v>
                </c:pt>
              </c:numCache>
            </c:numRef>
          </c:val>
          <c:smooth val="0"/>
          <c:extLst>
            <c:ext xmlns:c16="http://schemas.microsoft.com/office/drawing/2014/chart" uri="{C3380CC4-5D6E-409C-BE32-E72D297353CC}">
              <c16:uniqueId val="{0000000F-B157-402D-916B-C2F87CDDB58F}"/>
            </c:ext>
          </c:extLst>
        </c:ser>
        <c:dLbls>
          <c:showLegendKey val="0"/>
          <c:showVal val="0"/>
          <c:showCatName val="0"/>
          <c:showSerName val="0"/>
          <c:showPercent val="0"/>
          <c:showBubbleSize val="0"/>
        </c:dLbls>
        <c:marker val="1"/>
        <c:smooth val="0"/>
        <c:axId val="187775616"/>
        <c:axId val="187781504"/>
      </c:lineChart>
      <c:catAx>
        <c:axId val="1877756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81504"/>
        <c:crosses val="autoZero"/>
        <c:auto val="1"/>
        <c:lblAlgn val="ctr"/>
        <c:lblOffset val="100"/>
        <c:noMultiLvlLbl val="0"/>
      </c:catAx>
      <c:valAx>
        <c:axId val="187781504"/>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75616"/>
        <c:crosses val="autoZero"/>
        <c:crossBetween val="between"/>
        <c:majorUnit val="5"/>
      </c:valAx>
      <c:spPr>
        <a:solidFill>
          <a:sysClr val="window" lastClr="FFFFFF"/>
        </a:solidFill>
        <a:ln>
          <a:noFill/>
        </a:ln>
        <a:effectLst/>
      </c:spPr>
    </c:plotArea>
    <c:legend>
      <c:legendPos val="b"/>
      <c:layout>
        <c:manualLayout>
          <c:xMode val="edge"/>
          <c:yMode val="edge"/>
          <c:x val="3.9212759943468602E-2"/>
          <c:y val="0.73645171276667332"/>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F031B-D10E-47C4-9492-BF30A6392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34</Pages>
  <Words>6218</Words>
  <Characters>44474</Characters>
  <Application>Microsoft Office Word</Application>
  <DocSecurity>0</DocSecurity>
  <Lines>370</Lines>
  <Paragraphs>101</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50591</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Greta Adamyan</cp:lastModifiedBy>
  <cp:revision>4</cp:revision>
  <cp:lastPrinted>2023-08-09T08:34:00Z</cp:lastPrinted>
  <dcterms:created xsi:type="dcterms:W3CDTF">2024-04-29T08:22:00Z</dcterms:created>
  <dcterms:modified xsi:type="dcterms:W3CDTF">2024-04-29T10:27:00Z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d646123cfc9ede69348b32f31822380bf9744ebd183abec8f22d1a0465e85ac1</vt:lpwstr>
  </property>
</Properties>
</file>